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41B1" w14:textId="484A4A03"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D17586">
        <w:rPr>
          <w:rFonts w:ascii="Arial" w:eastAsia="MS Mincho" w:hAnsi="Arial"/>
          <w:b/>
          <w:sz w:val="24"/>
          <w:szCs w:val="24"/>
          <w:lang w:val="en-GB" w:eastAsia="x-none"/>
        </w:rPr>
        <w:t>-RAN WG2 Meeting #10</w:t>
      </w:r>
      <w:r w:rsidR="0060623C">
        <w:rPr>
          <w:rFonts w:ascii="Arial" w:eastAsia="MS Mincho" w:hAnsi="Arial"/>
          <w:b/>
          <w:sz w:val="24"/>
          <w:szCs w:val="24"/>
          <w:lang w:val="en-GB" w:eastAsia="x-none"/>
        </w:rPr>
        <w:t>6</w:t>
      </w:r>
      <w:r w:rsidR="00D17586">
        <w:rPr>
          <w:rFonts w:ascii="Arial" w:eastAsia="MS Mincho" w:hAnsi="Arial"/>
          <w:b/>
          <w:sz w:val="24"/>
          <w:szCs w:val="24"/>
          <w:lang w:val="en-GB" w:eastAsia="x-none"/>
        </w:rPr>
        <w:tab/>
        <w:t>R2-19</w:t>
      </w:r>
      <w:r w:rsidR="00252DF8">
        <w:rPr>
          <w:rFonts w:ascii="Arial" w:eastAsia="MS Mincho" w:hAnsi="Arial"/>
          <w:b/>
          <w:sz w:val="24"/>
          <w:szCs w:val="24"/>
          <w:lang w:val="en-GB" w:eastAsia="x-none"/>
        </w:rPr>
        <w:t>06442</w:t>
      </w:r>
    </w:p>
    <w:p w14:paraId="6877EE3A" w14:textId="2B6D24B7" w:rsidR="00895250" w:rsidRPr="00BA4886" w:rsidRDefault="0060623C"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US</w:t>
      </w:r>
      <w:r w:rsidR="00B559E8" w:rsidRPr="00B559E8">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710C7C">
        <w:rPr>
          <w:rFonts w:ascii="Arial" w:eastAsia="MS Mincho" w:hAnsi="Arial"/>
          <w:b/>
          <w:sz w:val="24"/>
          <w:szCs w:val="24"/>
          <w:lang w:val="en-GB" w:eastAsia="x-none"/>
        </w:rPr>
        <w:t xml:space="preserve"> 13</w:t>
      </w:r>
      <w:r w:rsidR="00710C7C" w:rsidRPr="00710C7C">
        <w:rPr>
          <w:rFonts w:ascii="Arial" w:eastAsia="MS Mincho" w:hAnsi="Arial"/>
          <w:b/>
          <w:sz w:val="24"/>
          <w:szCs w:val="24"/>
          <w:vertAlign w:val="superscript"/>
          <w:lang w:val="en-GB" w:eastAsia="x-none"/>
        </w:rPr>
        <w:t>th</w:t>
      </w:r>
      <w:r w:rsidR="00710C7C">
        <w:rPr>
          <w:rFonts w:ascii="Arial" w:eastAsia="MS Mincho" w:hAnsi="Arial"/>
          <w:b/>
          <w:sz w:val="24"/>
          <w:szCs w:val="24"/>
          <w:lang w:val="en-GB" w:eastAsia="x-none"/>
        </w:rPr>
        <w:t xml:space="preserve"> </w:t>
      </w:r>
      <w:r w:rsidR="00B559E8" w:rsidRPr="00B559E8">
        <w:rPr>
          <w:rFonts w:ascii="Arial" w:eastAsia="MS Mincho" w:hAnsi="Arial"/>
          <w:b/>
          <w:sz w:val="24"/>
          <w:szCs w:val="24"/>
          <w:lang w:val="en-GB" w:eastAsia="x-none"/>
        </w:rPr>
        <w:t xml:space="preserve">– </w:t>
      </w:r>
      <w:r w:rsidR="00710C7C">
        <w:rPr>
          <w:rFonts w:ascii="Arial" w:eastAsia="MS Mincho" w:hAnsi="Arial"/>
          <w:b/>
          <w:sz w:val="24"/>
          <w:szCs w:val="24"/>
          <w:lang w:val="en-GB" w:eastAsia="x-none"/>
        </w:rPr>
        <w:t xml:space="preserve">May </w:t>
      </w:r>
      <w:r w:rsidR="00B559E8" w:rsidRPr="00B559E8">
        <w:rPr>
          <w:rFonts w:ascii="Arial" w:eastAsia="MS Mincho" w:hAnsi="Arial"/>
          <w:b/>
          <w:sz w:val="24"/>
          <w:szCs w:val="24"/>
          <w:lang w:val="en-GB" w:eastAsia="x-none"/>
        </w:rPr>
        <w:t>1</w:t>
      </w:r>
      <w:r>
        <w:rPr>
          <w:rFonts w:ascii="Arial" w:eastAsia="MS Mincho" w:hAnsi="Arial"/>
          <w:b/>
          <w:sz w:val="24"/>
          <w:szCs w:val="24"/>
          <w:lang w:val="en-GB" w:eastAsia="x-none"/>
        </w:rPr>
        <w:t>7</w:t>
      </w:r>
      <w:r w:rsidR="00B559E8" w:rsidRPr="00B559E8">
        <w:rPr>
          <w:rFonts w:ascii="Arial" w:eastAsia="MS Mincho" w:hAnsi="Arial"/>
          <w:b/>
          <w:sz w:val="24"/>
          <w:szCs w:val="24"/>
          <w:vertAlign w:val="superscript"/>
          <w:lang w:val="en-GB" w:eastAsia="x-none"/>
        </w:rPr>
        <w:t>th</w:t>
      </w:r>
      <w:r w:rsidR="00710C7C">
        <w:rPr>
          <w:rFonts w:ascii="Arial" w:eastAsia="MS Mincho" w:hAnsi="Arial"/>
          <w:b/>
          <w:sz w:val="24"/>
          <w:szCs w:val="24"/>
          <w:lang w:val="en-GB" w:eastAsia="x-none"/>
        </w:rPr>
        <w:t>,</w:t>
      </w:r>
      <w:r w:rsidR="00F913DB">
        <w:rPr>
          <w:rFonts w:ascii="Arial" w:eastAsia="MS Mincho" w:hAnsi="Arial"/>
          <w:b/>
          <w:sz w:val="24"/>
          <w:szCs w:val="24"/>
          <w:lang w:val="en-GB" w:eastAsia="x-none"/>
        </w:rPr>
        <w:t xml:space="preserve"> 2019</w:t>
      </w:r>
      <w:r w:rsidR="00F913DB">
        <w:rPr>
          <w:rFonts w:ascii="Arial" w:eastAsia="MS Mincho" w:hAnsi="Arial"/>
          <w:b/>
          <w:sz w:val="24"/>
          <w:szCs w:val="24"/>
          <w:lang w:val="en-GB" w:eastAsia="x-none"/>
        </w:rPr>
        <w:tab/>
      </w:r>
    </w:p>
    <w:p w14:paraId="4D802B6F" w14:textId="77777777" w:rsidR="00B559E8" w:rsidRDefault="00B559E8" w:rsidP="00A07E02">
      <w:pPr>
        <w:pStyle w:val="3GPPHeader"/>
        <w:rPr>
          <w:rFonts w:ascii="Arial" w:hAnsi="Arial" w:cs="Arial"/>
          <w:szCs w:val="24"/>
        </w:rPr>
      </w:pPr>
    </w:p>
    <w:p w14:paraId="027912C8" w14:textId="51A73C5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4363DF">
        <w:rPr>
          <w:rFonts w:ascii="Arial" w:hAnsi="Arial" w:cs="Arial"/>
          <w:szCs w:val="24"/>
        </w:rPr>
        <w:t>1</w:t>
      </w:r>
      <w:r w:rsidR="0060623C">
        <w:rPr>
          <w:rFonts w:ascii="Arial" w:hAnsi="Arial" w:cs="Arial"/>
          <w:szCs w:val="24"/>
        </w:rPr>
        <w:t>1</w:t>
      </w:r>
      <w:r w:rsidR="004363DF">
        <w:rPr>
          <w:rFonts w:ascii="Arial" w:hAnsi="Arial" w:cs="Arial"/>
          <w:szCs w:val="24"/>
        </w:rPr>
        <w:t>.</w:t>
      </w:r>
      <w:r w:rsidR="0060623C">
        <w:rPr>
          <w:rFonts w:ascii="Arial" w:hAnsi="Arial" w:cs="Arial"/>
          <w:szCs w:val="24"/>
        </w:rPr>
        <w:t>1</w:t>
      </w:r>
      <w:r w:rsidR="004363DF">
        <w:rPr>
          <w:rFonts w:ascii="Arial" w:hAnsi="Arial" w:cs="Arial"/>
          <w:szCs w:val="24"/>
        </w:rPr>
        <w:t>4.2</w:t>
      </w:r>
    </w:p>
    <w:p w14:paraId="79D236BA" w14:textId="6DED9819"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r w:rsidR="00B559E8">
        <w:rPr>
          <w:rFonts w:ascii="Arial" w:hAnsi="Arial" w:cs="Arial"/>
          <w:szCs w:val="24"/>
        </w:rPr>
        <w:t>OPPO</w:t>
      </w:r>
      <w:bookmarkStart w:id="2" w:name="_GoBack"/>
      <w:bookmarkEnd w:id="2"/>
    </w:p>
    <w:p w14:paraId="108A86FF" w14:textId="19B869B9"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60623C">
        <w:rPr>
          <w:b/>
          <w:sz w:val="24"/>
          <w:lang w:val="en-GB"/>
        </w:rPr>
        <w:t xml:space="preserve">Considerations on NR to </w:t>
      </w:r>
      <w:r w:rsidR="00476527">
        <w:rPr>
          <w:b/>
          <w:sz w:val="24"/>
          <w:lang w:val="en-GB"/>
        </w:rPr>
        <w:t>UTRA</w:t>
      </w:r>
      <w:r w:rsidR="0060623C">
        <w:rPr>
          <w:b/>
          <w:sz w:val="24"/>
          <w:lang w:val="en-GB"/>
        </w:rPr>
        <w:t xml:space="preserve"> IRAT measurement for SRVCC</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B30B764" w14:textId="4AF8A5FC" w:rsidR="003A22AF" w:rsidRPr="00102C14" w:rsidRDefault="0060623C" w:rsidP="0005165E">
      <w:pPr>
        <w:spacing w:beforeLines="50" w:before="120"/>
        <w:rPr>
          <w:rFonts w:ascii="Times New Roman" w:hAnsi="Times New Roman"/>
        </w:rPr>
      </w:pPr>
      <w:bookmarkStart w:id="6" w:name="OLE_LINK41"/>
      <w:bookmarkStart w:id="7" w:name="OLE_LINK24"/>
      <w:bookmarkStart w:id="8" w:name="OLE_LINK17"/>
      <w:bookmarkStart w:id="9" w:name="OLE_LINK16"/>
      <w:bookmarkEnd w:id="3"/>
      <w:bookmarkEnd w:id="4"/>
      <w:bookmarkEnd w:id="5"/>
      <w:r w:rsidRPr="0060623C">
        <w:rPr>
          <w:rFonts w:ascii="Times New Roman" w:hAnsi="Times New Roman"/>
        </w:rPr>
        <w:t xml:space="preserve">Single Radio Voice Call Continuity </w:t>
      </w:r>
      <w:r>
        <w:rPr>
          <w:rFonts w:ascii="Times New Roman" w:hAnsi="Times New Roman"/>
        </w:rPr>
        <w:t xml:space="preserve">(SRVCC) </w:t>
      </w:r>
      <w:r w:rsidRPr="0060623C">
        <w:rPr>
          <w:rFonts w:ascii="Times New Roman" w:hAnsi="Times New Roman"/>
        </w:rPr>
        <w:t xml:space="preserve">from </w:t>
      </w:r>
      <w:r>
        <w:rPr>
          <w:rFonts w:ascii="Times New Roman" w:hAnsi="Times New Roman"/>
        </w:rPr>
        <w:t>NR</w:t>
      </w:r>
      <w:r w:rsidRPr="0060623C">
        <w:rPr>
          <w:rFonts w:ascii="Times New Roman" w:hAnsi="Times New Roman"/>
        </w:rPr>
        <w:t xml:space="preserve"> to </w:t>
      </w:r>
      <w:r>
        <w:rPr>
          <w:rFonts w:ascii="Times New Roman" w:hAnsi="Times New Roman"/>
        </w:rPr>
        <w:t>UTRA was approved in RAN #83[1]. One of key enablers for SRVCC is NR to UTRA inter-RAT measurements</w:t>
      </w:r>
      <w:r w:rsidR="00896920">
        <w:rPr>
          <w:rFonts w:ascii="Times New Roman" w:hAnsi="Times New Roman"/>
        </w:rPr>
        <w:t xml:space="preserve">, which is not defined in NR Rel-15. </w:t>
      </w:r>
      <w:r>
        <w:rPr>
          <w:rFonts w:ascii="Times New Roman" w:hAnsi="Times New Roman"/>
        </w:rPr>
        <w:t xml:space="preserve">In this paper, we </w:t>
      </w:r>
      <w:r w:rsidR="00896920">
        <w:rPr>
          <w:rFonts w:ascii="Times New Roman" w:hAnsi="Times New Roman"/>
        </w:rPr>
        <w:t>make an initial analysis on NR to UTRA measurement</w:t>
      </w:r>
      <w:r w:rsidR="0088387A">
        <w:rPr>
          <w:rFonts w:ascii="Times New Roman" w:hAnsi="Times New Roman"/>
        </w:rPr>
        <w:t xml:space="preserve"> requirements </w:t>
      </w:r>
      <w:r w:rsidR="00896920">
        <w:rPr>
          <w:rFonts w:ascii="Times New Roman" w:hAnsi="Times New Roman"/>
        </w:rPr>
        <w:t>and give our proposals.</w:t>
      </w:r>
    </w:p>
    <w:p w14:paraId="2D9A0F46" w14:textId="721FCEAD" w:rsidR="00202DDC" w:rsidRPr="00BA4886" w:rsidRDefault="00202DDC" w:rsidP="00202DDC">
      <w:pPr>
        <w:pStyle w:val="Heading1"/>
        <w:overflowPunct w:val="0"/>
        <w:autoSpaceDE w:val="0"/>
        <w:autoSpaceDN w:val="0"/>
        <w:adjustRightInd w:val="0"/>
        <w:rPr>
          <w:rFonts w:eastAsia="PMingLiU" w:cs="Arial"/>
        </w:rPr>
      </w:pPr>
      <w:r w:rsidRPr="00BA4886">
        <w:rPr>
          <w:rFonts w:eastAsia="PMingLiU" w:cs="Arial"/>
        </w:rPr>
        <w:t>Discussion</w:t>
      </w:r>
    </w:p>
    <w:p w14:paraId="23CEEFCA" w14:textId="5FDB4746" w:rsidR="00ED479B" w:rsidRDefault="00896920" w:rsidP="00102C14">
      <w:pPr>
        <w:spacing w:beforeLines="50" w:before="120"/>
        <w:rPr>
          <w:rFonts w:ascii="Times New Roman" w:hAnsi="Times New Roman"/>
        </w:rPr>
      </w:pPr>
      <w:r>
        <w:rPr>
          <w:rFonts w:ascii="Times New Roman" w:hAnsi="Times New Roman"/>
        </w:rPr>
        <w:t>In Rel-15, NR was introduced without considering NR to</w:t>
      </w:r>
      <w:r w:rsidR="00C249ED">
        <w:rPr>
          <w:rFonts w:ascii="Times New Roman" w:hAnsi="Times New Roman"/>
        </w:rPr>
        <w:t xml:space="preserve">/from UTRA IRAT procedures. </w:t>
      </w:r>
      <w:r w:rsidR="00926B7F">
        <w:rPr>
          <w:rFonts w:ascii="Times New Roman" w:hAnsi="Times New Roman"/>
        </w:rPr>
        <w:t>There are not many use cases to move the UE between two technologies (NR and 3G) with a large data rate gap,</w:t>
      </w:r>
      <w:r w:rsidR="00F36C25">
        <w:rPr>
          <w:rFonts w:ascii="Times New Roman" w:hAnsi="Times New Roman"/>
        </w:rPr>
        <w:t xml:space="preserve"> especially</w:t>
      </w:r>
      <w:r w:rsidR="00926B7F">
        <w:rPr>
          <w:rFonts w:ascii="Times New Roman" w:hAnsi="Times New Roman"/>
        </w:rPr>
        <w:t xml:space="preserve"> considering in most cases LTE’s coverage is available. </w:t>
      </w:r>
      <w:r w:rsidR="00F36C25">
        <w:rPr>
          <w:rFonts w:ascii="Times New Roman" w:hAnsi="Times New Roman"/>
        </w:rPr>
        <w:t>For voice services, we understand that in some regions, VoLTE may not be always available</w:t>
      </w:r>
      <w:r w:rsidR="00CB463E">
        <w:rPr>
          <w:rFonts w:ascii="Times New Roman" w:hAnsi="Times New Roman"/>
        </w:rPr>
        <w:t xml:space="preserve"> so</w:t>
      </w:r>
      <w:r w:rsidR="00F36C25">
        <w:rPr>
          <w:rFonts w:ascii="Times New Roman" w:hAnsi="Times New Roman"/>
        </w:rPr>
        <w:t xml:space="preserve"> </w:t>
      </w:r>
      <w:proofErr w:type="spellStart"/>
      <w:r w:rsidR="00F36C25">
        <w:rPr>
          <w:rFonts w:ascii="Times New Roman" w:hAnsi="Times New Roman"/>
        </w:rPr>
        <w:t>VoNR</w:t>
      </w:r>
      <w:proofErr w:type="spellEnd"/>
      <w:r w:rsidR="00F36C25">
        <w:rPr>
          <w:rFonts w:ascii="Times New Roman" w:hAnsi="Times New Roman"/>
        </w:rPr>
        <w:t xml:space="preserve"> to 3G CS voice continuity </w:t>
      </w:r>
      <w:r w:rsidR="00CB463E">
        <w:rPr>
          <w:rFonts w:ascii="Times New Roman" w:hAnsi="Times New Roman"/>
        </w:rPr>
        <w:t>is</w:t>
      </w:r>
      <w:r w:rsidR="00F36C25">
        <w:rPr>
          <w:rFonts w:ascii="Times New Roman" w:hAnsi="Times New Roman"/>
        </w:rPr>
        <w:t xml:space="preserve"> required. However, this should not be considered as a typical scenario</w:t>
      </w:r>
      <w:r w:rsidR="00CB463E">
        <w:rPr>
          <w:rFonts w:ascii="Times New Roman" w:hAnsi="Times New Roman"/>
        </w:rPr>
        <w:t xml:space="preserve"> because IMS entity is common for both LTE and NR</w:t>
      </w:r>
      <w:r w:rsidR="00ED479B">
        <w:rPr>
          <w:rFonts w:ascii="Times New Roman" w:hAnsi="Times New Roman"/>
        </w:rPr>
        <w:t xml:space="preserve">. Whenever and wherever </w:t>
      </w:r>
      <w:proofErr w:type="spellStart"/>
      <w:r w:rsidR="00ED479B">
        <w:rPr>
          <w:rFonts w:ascii="Times New Roman" w:hAnsi="Times New Roman"/>
        </w:rPr>
        <w:t>VoNR</w:t>
      </w:r>
      <w:proofErr w:type="spellEnd"/>
      <w:r w:rsidR="00ED479B">
        <w:rPr>
          <w:rFonts w:ascii="Times New Roman" w:hAnsi="Times New Roman"/>
        </w:rPr>
        <w:t xml:space="preserve"> is supported, VoLTE should also be available. With this understanding, we have proposal 1.</w:t>
      </w:r>
    </w:p>
    <w:p w14:paraId="40ACF98B" w14:textId="50A78693" w:rsidR="00896920" w:rsidRPr="00ED479B" w:rsidRDefault="00ED479B" w:rsidP="00102C14">
      <w:pPr>
        <w:spacing w:beforeLines="50" w:before="120"/>
        <w:rPr>
          <w:rFonts w:ascii="Times New Roman" w:hAnsi="Times New Roman"/>
          <w:b/>
        </w:rPr>
      </w:pPr>
      <w:r w:rsidRPr="00ED479B">
        <w:rPr>
          <w:rFonts w:ascii="Times New Roman" w:hAnsi="Times New Roman"/>
          <w:b/>
        </w:rPr>
        <w:t xml:space="preserve">Proposal 1: </w:t>
      </w:r>
      <w:r w:rsidR="00990A3C">
        <w:rPr>
          <w:rFonts w:ascii="Times New Roman" w:hAnsi="Times New Roman"/>
          <w:b/>
        </w:rPr>
        <w:t>i</w:t>
      </w:r>
      <w:r w:rsidR="000A4A24">
        <w:rPr>
          <w:rFonts w:ascii="Times New Roman" w:hAnsi="Times New Roman"/>
          <w:b/>
        </w:rPr>
        <w:t>nter-</w:t>
      </w:r>
      <w:r>
        <w:rPr>
          <w:rFonts w:ascii="Times New Roman" w:hAnsi="Times New Roman"/>
          <w:b/>
        </w:rPr>
        <w:t xml:space="preserve">RAT measurement from NR to UTRA should be light-weighted and be restricted to the </w:t>
      </w:r>
      <w:r w:rsidR="0073711A">
        <w:rPr>
          <w:rFonts w:ascii="Times New Roman" w:hAnsi="Times New Roman"/>
          <w:b/>
        </w:rPr>
        <w:t xml:space="preserve">purpose of </w:t>
      </w:r>
      <w:r>
        <w:rPr>
          <w:rFonts w:ascii="Times New Roman" w:hAnsi="Times New Roman"/>
          <w:b/>
        </w:rPr>
        <w:t>NR to UTRA SRVC</w:t>
      </w:r>
      <w:r w:rsidR="0073711A">
        <w:rPr>
          <w:rFonts w:ascii="Times New Roman" w:hAnsi="Times New Roman"/>
          <w:b/>
        </w:rPr>
        <w:t>C</w:t>
      </w:r>
      <w:r>
        <w:rPr>
          <w:rFonts w:ascii="Times New Roman" w:hAnsi="Times New Roman"/>
          <w:b/>
        </w:rPr>
        <w:t xml:space="preserve">. </w:t>
      </w:r>
    </w:p>
    <w:p w14:paraId="3653FA8C" w14:textId="4EBFA5CC" w:rsidR="00C249ED" w:rsidRDefault="00C249ED" w:rsidP="00102C14">
      <w:pPr>
        <w:spacing w:beforeLines="50" w:before="120"/>
        <w:rPr>
          <w:rFonts w:ascii="Times New Roman" w:hAnsi="Times New Roman"/>
        </w:rPr>
      </w:pPr>
    </w:p>
    <w:p w14:paraId="29487441" w14:textId="200E588F" w:rsidR="00C249ED" w:rsidRDefault="000A4A24" w:rsidP="00102C14">
      <w:pPr>
        <w:spacing w:beforeLines="50" w:before="120"/>
        <w:rPr>
          <w:rFonts w:ascii="Times New Roman" w:hAnsi="Times New Roman"/>
        </w:rPr>
      </w:pPr>
      <w:r>
        <w:rPr>
          <w:rFonts w:ascii="Times New Roman" w:hAnsi="Times New Roman"/>
        </w:rPr>
        <w:t>Since NR to UTRA IRAT procedure was not defined yet, it’s helpful to examine LTE to UTRA procedure</w:t>
      </w:r>
      <w:r w:rsidR="00430CD4">
        <w:rPr>
          <w:rFonts w:ascii="Times New Roman" w:hAnsi="Times New Roman"/>
        </w:rPr>
        <w:t xml:space="preserve"> </w:t>
      </w:r>
      <w:r>
        <w:rPr>
          <w:rFonts w:ascii="Times New Roman" w:hAnsi="Times New Roman"/>
        </w:rPr>
        <w:t>as a baseline reference.</w:t>
      </w:r>
    </w:p>
    <w:p w14:paraId="3309E597" w14:textId="77777777" w:rsidR="0073711A" w:rsidRDefault="0073711A" w:rsidP="00102C14">
      <w:pPr>
        <w:spacing w:beforeLines="50" w:before="120"/>
        <w:rPr>
          <w:rFonts w:ascii="Times New Roman" w:hAnsi="Times New Roman"/>
        </w:rPr>
      </w:pPr>
    </w:p>
    <w:p w14:paraId="18CDB8DB" w14:textId="5D12286B" w:rsidR="000A4A24" w:rsidRPr="000A4A24" w:rsidRDefault="000A4A24" w:rsidP="000A4A24">
      <w:pPr>
        <w:pStyle w:val="ListParagraph"/>
        <w:numPr>
          <w:ilvl w:val="0"/>
          <w:numId w:val="25"/>
        </w:numPr>
        <w:spacing w:beforeLines="50" w:before="120"/>
        <w:rPr>
          <w:rFonts w:ascii="Times New Roman" w:hAnsi="Times New Roman"/>
          <w:u w:val="single"/>
        </w:rPr>
      </w:pPr>
      <w:r w:rsidRPr="000A4A24">
        <w:rPr>
          <w:rFonts w:ascii="Times New Roman" w:hAnsi="Times New Roman"/>
          <w:u w:val="single"/>
        </w:rPr>
        <w:t xml:space="preserve">Idle </w:t>
      </w:r>
      <w:r w:rsidR="0084742B">
        <w:rPr>
          <w:rFonts w:ascii="Times New Roman" w:hAnsi="Times New Roman"/>
          <w:u w:val="single"/>
        </w:rPr>
        <w:t xml:space="preserve">mode </w:t>
      </w:r>
      <w:r w:rsidRPr="000A4A24">
        <w:rPr>
          <w:rFonts w:ascii="Times New Roman" w:hAnsi="Times New Roman"/>
          <w:u w:val="single"/>
        </w:rPr>
        <w:t>measurements:</w:t>
      </w:r>
    </w:p>
    <w:p w14:paraId="278B8CAD" w14:textId="3EC1691E" w:rsidR="000A4A24" w:rsidRDefault="000A4A24" w:rsidP="00102C14">
      <w:pPr>
        <w:spacing w:beforeLines="50" w:before="120"/>
        <w:rPr>
          <w:rFonts w:ascii="Times New Roman" w:hAnsi="Times New Roman"/>
        </w:rPr>
      </w:pPr>
      <w:r>
        <w:rPr>
          <w:rFonts w:ascii="Times New Roman" w:hAnsi="Times New Roman"/>
        </w:rPr>
        <w:t>In LTE, SIB6 is defined to support idle mode measurement</w:t>
      </w:r>
      <w:r w:rsidR="00990A3C">
        <w:rPr>
          <w:rFonts w:ascii="Times New Roman" w:hAnsi="Times New Roman"/>
        </w:rPr>
        <w:t>s</w:t>
      </w:r>
      <w:r>
        <w:rPr>
          <w:rFonts w:ascii="Times New Roman" w:hAnsi="Times New Roman"/>
        </w:rPr>
        <w:t xml:space="preserve"> to UTRA. This is because the UE needs to support idle mode </w:t>
      </w:r>
      <w:r w:rsidR="00A77343">
        <w:rPr>
          <w:rFonts w:ascii="Times New Roman" w:hAnsi="Times New Roman"/>
        </w:rPr>
        <w:t>i</w:t>
      </w:r>
      <w:r>
        <w:rPr>
          <w:rFonts w:ascii="Times New Roman" w:hAnsi="Times New Roman"/>
        </w:rPr>
        <w:t>nter-RAT cell reselection from LTE to UTRA. This is not the case for NR to UTRA SRVCC</w:t>
      </w:r>
      <w:r w:rsidR="00DA3CC0">
        <w:rPr>
          <w:rFonts w:ascii="Times New Roman" w:hAnsi="Times New Roman"/>
        </w:rPr>
        <w:t xml:space="preserve"> which can be only triggered when the UE is in connected mode.</w:t>
      </w:r>
      <w:r>
        <w:rPr>
          <w:rFonts w:ascii="Times New Roman" w:hAnsi="Times New Roman"/>
        </w:rPr>
        <w:t xml:space="preserve"> There is no intention to let the UE perform idle/inactive state measurement</w:t>
      </w:r>
      <w:r w:rsidR="00990A3C">
        <w:rPr>
          <w:rFonts w:ascii="Times New Roman" w:hAnsi="Times New Roman"/>
        </w:rPr>
        <w:t>s</w:t>
      </w:r>
      <w:r>
        <w:rPr>
          <w:rFonts w:ascii="Times New Roman" w:hAnsi="Times New Roman"/>
        </w:rPr>
        <w:t xml:space="preserve"> towards a UTRA frequency.</w:t>
      </w:r>
    </w:p>
    <w:p w14:paraId="5939B23F" w14:textId="70808970" w:rsidR="000A4A24" w:rsidRDefault="000A4A24" w:rsidP="000A4A24">
      <w:pPr>
        <w:spacing w:beforeLines="50" w:before="120"/>
        <w:rPr>
          <w:rFonts w:ascii="Times New Roman" w:hAnsi="Times New Roman"/>
          <w:b/>
        </w:rPr>
      </w:pPr>
      <w:r w:rsidRPr="00ED479B">
        <w:rPr>
          <w:rFonts w:ascii="Times New Roman" w:hAnsi="Times New Roman"/>
          <w:b/>
        </w:rPr>
        <w:t xml:space="preserve">Proposal </w:t>
      </w:r>
      <w:r>
        <w:rPr>
          <w:rFonts w:ascii="Times New Roman" w:hAnsi="Times New Roman"/>
          <w:b/>
        </w:rPr>
        <w:t>2</w:t>
      </w:r>
      <w:r w:rsidRPr="00ED479B">
        <w:rPr>
          <w:rFonts w:ascii="Times New Roman" w:hAnsi="Times New Roman"/>
          <w:b/>
        </w:rPr>
        <w:t xml:space="preserve">: </w:t>
      </w:r>
      <w:r>
        <w:rPr>
          <w:rFonts w:ascii="Times New Roman" w:hAnsi="Times New Roman"/>
          <w:b/>
        </w:rPr>
        <w:t>the UE is not required to support idle mode measurement</w:t>
      </w:r>
      <w:r w:rsidR="00990A3C">
        <w:rPr>
          <w:rFonts w:ascii="Times New Roman" w:hAnsi="Times New Roman"/>
          <w:b/>
        </w:rPr>
        <w:t>s</w:t>
      </w:r>
      <w:r>
        <w:rPr>
          <w:rFonts w:ascii="Times New Roman" w:hAnsi="Times New Roman"/>
          <w:b/>
        </w:rPr>
        <w:t xml:space="preserve"> towards UTRA. </w:t>
      </w:r>
      <w:r w:rsidR="0084742B">
        <w:rPr>
          <w:rFonts w:ascii="Times New Roman" w:hAnsi="Times New Roman"/>
          <w:b/>
        </w:rPr>
        <w:t>N</w:t>
      </w:r>
      <w:r>
        <w:rPr>
          <w:rFonts w:ascii="Times New Roman" w:hAnsi="Times New Roman"/>
          <w:b/>
        </w:rPr>
        <w:t xml:space="preserve">o </w:t>
      </w:r>
      <w:r w:rsidR="0084742B">
        <w:rPr>
          <w:rFonts w:ascii="Times New Roman" w:hAnsi="Times New Roman"/>
          <w:b/>
        </w:rPr>
        <w:t xml:space="preserve">new </w:t>
      </w:r>
      <w:r>
        <w:rPr>
          <w:rFonts w:ascii="Times New Roman" w:hAnsi="Times New Roman"/>
          <w:b/>
        </w:rPr>
        <w:t>system information for UTRA frequencies/cells is needed.</w:t>
      </w:r>
    </w:p>
    <w:p w14:paraId="2BB48C60" w14:textId="77777777" w:rsidR="006501D3" w:rsidRPr="00ED479B" w:rsidRDefault="006501D3" w:rsidP="000A4A24">
      <w:pPr>
        <w:spacing w:beforeLines="50" w:before="120"/>
        <w:rPr>
          <w:rFonts w:ascii="Times New Roman" w:hAnsi="Times New Roman"/>
          <w:b/>
        </w:rPr>
      </w:pPr>
    </w:p>
    <w:p w14:paraId="70A6FFBE" w14:textId="4B20B3F1" w:rsidR="000A4A24" w:rsidRPr="000A4A24" w:rsidRDefault="006501D3" w:rsidP="000A4A24">
      <w:pPr>
        <w:pStyle w:val="ListParagraph"/>
        <w:numPr>
          <w:ilvl w:val="0"/>
          <w:numId w:val="25"/>
        </w:numPr>
        <w:spacing w:beforeLines="50" w:before="120"/>
        <w:rPr>
          <w:rFonts w:ascii="Times New Roman" w:hAnsi="Times New Roman"/>
          <w:u w:val="single"/>
        </w:rPr>
      </w:pPr>
      <w:r>
        <w:rPr>
          <w:rFonts w:ascii="Times New Roman" w:hAnsi="Times New Roman"/>
          <w:u w:val="single"/>
        </w:rPr>
        <w:t>Report configurations</w:t>
      </w:r>
      <w:r w:rsidR="000A4A24" w:rsidRPr="000A4A24">
        <w:rPr>
          <w:rFonts w:ascii="Times New Roman" w:hAnsi="Times New Roman"/>
          <w:u w:val="single"/>
        </w:rPr>
        <w:t>:</w:t>
      </w:r>
    </w:p>
    <w:p w14:paraId="4AB41F33" w14:textId="5B5209C0" w:rsidR="0084742B" w:rsidRDefault="0084742B" w:rsidP="00102C14">
      <w:pPr>
        <w:spacing w:beforeLines="50" w:before="120"/>
        <w:rPr>
          <w:rFonts w:ascii="Times New Roman" w:hAnsi="Times New Roman"/>
          <w:lang w:val="en-GB"/>
        </w:rPr>
      </w:pPr>
      <w:r>
        <w:rPr>
          <w:rFonts w:ascii="Times New Roman" w:hAnsi="Times New Roman"/>
          <w:lang w:val="en-GB"/>
        </w:rPr>
        <w:t xml:space="preserve">In connected mode measurement, </w:t>
      </w:r>
      <w:r w:rsidR="00990A3C">
        <w:rPr>
          <w:rFonts w:ascii="Times New Roman" w:hAnsi="Times New Roman"/>
          <w:lang w:val="en-GB"/>
        </w:rPr>
        <w:t xml:space="preserve">events </w:t>
      </w:r>
      <w:r>
        <w:rPr>
          <w:rFonts w:ascii="Times New Roman" w:hAnsi="Times New Roman"/>
          <w:lang w:val="en-GB"/>
        </w:rPr>
        <w:t>B1 and B2 are defined for inter-RAT measurements:</w:t>
      </w:r>
    </w:p>
    <w:p w14:paraId="09ED19DD" w14:textId="7D0FE409" w:rsidR="0084742B" w:rsidRDefault="0084742B" w:rsidP="0084742B">
      <w:pPr>
        <w:pStyle w:val="ListParagraph"/>
        <w:numPr>
          <w:ilvl w:val="0"/>
          <w:numId w:val="28"/>
        </w:numPr>
        <w:spacing w:beforeLines="50" w:before="120"/>
        <w:rPr>
          <w:rFonts w:ascii="Times New Roman" w:hAnsi="Times New Roman"/>
        </w:rPr>
      </w:pPr>
      <w:r>
        <w:rPr>
          <w:rFonts w:ascii="Times New Roman" w:hAnsi="Times New Roman"/>
        </w:rPr>
        <w:t xml:space="preserve">Event B1: </w:t>
      </w:r>
      <w:r w:rsidRPr="0084742B">
        <w:rPr>
          <w:rFonts w:ascii="Times New Roman" w:hAnsi="Times New Roman"/>
        </w:rPr>
        <w:t>Neighbour becomes better than absolute threshold;</w:t>
      </w:r>
    </w:p>
    <w:p w14:paraId="70A28450" w14:textId="13883D01" w:rsidR="0084742B" w:rsidRDefault="0084742B" w:rsidP="00102C14">
      <w:pPr>
        <w:pStyle w:val="ListParagraph"/>
        <w:numPr>
          <w:ilvl w:val="0"/>
          <w:numId w:val="28"/>
        </w:numPr>
        <w:spacing w:beforeLines="50" w:before="120"/>
        <w:rPr>
          <w:rFonts w:ascii="Times New Roman" w:hAnsi="Times New Roman"/>
        </w:rPr>
      </w:pPr>
      <w:r>
        <w:rPr>
          <w:rFonts w:ascii="Times New Roman" w:hAnsi="Times New Roman"/>
        </w:rPr>
        <w:t xml:space="preserve">Event B2: </w:t>
      </w:r>
      <w:proofErr w:type="spellStart"/>
      <w:r w:rsidRPr="0084742B">
        <w:rPr>
          <w:rFonts w:ascii="Times New Roman" w:hAnsi="Times New Roman"/>
        </w:rPr>
        <w:t>PCell</w:t>
      </w:r>
      <w:proofErr w:type="spellEnd"/>
      <w:r w:rsidRPr="0084742B">
        <w:rPr>
          <w:rFonts w:ascii="Times New Roman" w:hAnsi="Times New Roman"/>
        </w:rPr>
        <w:t xml:space="preserve"> becomes worse than absolute threshold1 AND Neighbour becomes better than another absolute threshold2;</w:t>
      </w:r>
    </w:p>
    <w:p w14:paraId="6C991ABD" w14:textId="665F9A7A" w:rsidR="0084742B" w:rsidRDefault="0084742B" w:rsidP="0084742B">
      <w:pPr>
        <w:spacing w:beforeLines="50" w:before="120"/>
        <w:rPr>
          <w:rFonts w:ascii="Times New Roman" w:hAnsi="Times New Roman"/>
        </w:rPr>
      </w:pPr>
      <w:r>
        <w:rPr>
          <w:rFonts w:ascii="Times New Roman" w:hAnsi="Times New Roman"/>
        </w:rPr>
        <w:lastRenderedPageBreak/>
        <w:t xml:space="preserve">Both </w:t>
      </w:r>
      <w:r w:rsidR="006501D3">
        <w:rPr>
          <w:rFonts w:ascii="Times New Roman" w:hAnsi="Times New Roman"/>
        </w:rPr>
        <w:t>events are useful and should be supported</w:t>
      </w:r>
      <w:r w:rsidR="00990A3C">
        <w:rPr>
          <w:rFonts w:ascii="Times New Roman" w:hAnsi="Times New Roman"/>
        </w:rPr>
        <w:t xml:space="preserve"> for NR to UTRA measurement</w:t>
      </w:r>
      <w:r w:rsidR="006501D3">
        <w:rPr>
          <w:rFonts w:ascii="Times New Roman" w:hAnsi="Times New Roman"/>
        </w:rPr>
        <w:t>. However, for periodical measurement, we do not see an obvious use case and propose</w:t>
      </w:r>
      <w:r w:rsidR="00990A3C">
        <w:rPr>
          <w:rFonts w:ascii="Times New Roman" w:hAnsi="Times New Roman"/>
        </w:rPr>
        <w:t xml:space="preserve"> </w:t>
      </w:r>
      <w:r w:rsidR="006501D3">
        <w:rPr>
          <w:rFonts w:ascii="Times New Roman" w:hAnsi="Times New Roman"/>
        </w:rPr>
        <w:t xml:space="preserve">not </w:t>
      </w:r>
      <w:r w:rsidR="00990A3C">
        <w:rPr>
          <w:rFonts w:ascii="Times New Roman" w:hAnsi="Times New Roman"/>
        </w:rPr>
        <w:t xml:space="preserve">to </w:t>
      </w:r>
      <w:r w:rsidR="006501D3">
        <w:rPr>
          <w:rFonts w:ascii="Times New Roman" w:hAnsi="Times New Roman"/>
        </w:rPr>
        <w:t>support it, but we are open to discuss.</w:t>
      </w:r>
    </w:p>
    <w:p w14:paraId="4B92035C" w14:textId="4EC254D3" w:rsidR="006501D3" w:rsidRDefault="006501D3" w:rsidP="006501D3">
      <w:pPr>
        <w:spacing w:beforeLines="50" w:before="120"/>
        <w:rPr>
          <w:rFonts w:ascii="Times New Roman" w:hAnsi="Times New Roman"/>
          <w:b/>
        </w:rPr>
      </w:pPr>
      <w:r w:rsidRPr="00ED479B">
        <w:rPr>
          <w:rFonts w:ascii="Times New Roman" w:hAnsi="Times New Roman"/>
          <w:b/>
        </w:rPr>
        <w:t xml:space="preserve">Proposal </w:t>
      </w:r>
      <w:r>
        <w:rPr>
          <w:rFonts w:ascii="Times New Roman" w:hAnsi="Times New Roman"/>
          <w:b/>
        </w:rPr>
        <w:t>3</w:t>
      </w:r>
      <w:r w:rsidRPr="00ED479B">
        <w:rPr>
          <w:rFonts w:ascii="Times New Roman" w:hAnsi="Times New Roman"/>
          <w:b/>
        </w:rPr>
        <w:t>:</w:t>
      </w:r>
      <w:r>
        <w:rPr>
          <w:rFonts w:ascii="Times New Roman" w:hAnsi="Times New Roman"/>
          <w:b/>
        </w:rPr>
        <w:t xml:space="preserve"> for NR to UTRA measurement,</w:t>
      </w:r>
      <w:r w:rsidRPr="00ED479B">
        <w:rPr>
          <w:rFonts w:ascii="Times New Roman" w:hAnsi="Times New Roman"/>
          <w:b/>
        </w:rPr>
        <w:t xml:space="preserve"> </w:t>
      </w:r>
      <w:r>
        <w:rPr>
          <w:rFonts w:ascii="Times New Roman" w:hAnsi="Times New Roman"/>
          <w:b/>
        </w:rPr>
        <w:t xml:space="preserve">both event B1 and event B2 shall be supported; periodical </w:t>
      </w:r>
      <w:r w:rsidR="00F967C9">
        <w:rPr>
          <w:rFonts w:ascii="Times New Roman" w:hAnsi="Times New Roman"/>
          <w:b/>
        </w:rPr>
        <w:t xml:space="preserve">measurement </w:t>
      </w:r>
      <w:r w:rsidR="00990A3C">
        <w:rPr>
          <w:rFonts w:ascii="Times New Roman" w:hAnsi="Times New Roman"/>
          <w:b/>
        </w:rPr>
        <w:t>is</w:t>
      </w:r>
      <w:r w:rsidR="00F967C9">
        <w:rPr>
          <w:rFonts w:ascii="Times New Roman" w:hAnsi="Times New Roman"/>
          <w:b/>
        </w:rPr>
        <w:t xml:space="preserve"> not </w:t>
      </w:r>
      <w:r w:rsidR="00A77343">
        <w:rPr>
          <w:rFonts w:ascii="Times New Roman" w:hAnsi="Times New Roman"/>
          <w:b/>
        </w:rPr>
        <w:t>supported</w:t>
      </w:r>
      <w:r w:rsidR="00F967C9">
        <w:rPr>
          <w:rFonts w:ascii="Times New Roman" w:hAnsi="Times New Roman"/>
          <w:b/>
        </w:rPr>
        <w:t>.</w:t>
      </w:r>
    </w:p>
    <w:p w14:paraId="6C43CC71" w14:textId="77777777" w:rsidR="006501D3" w:rsidRDefault="006501D3" w:rsidP="006501D3">
      <w:pPr>
        <w:spacing w:beforeLines="50" w:before="120"/>
        <w:rPr>
          <w:rFonts w:ascii="Times New Roman" w:hAnsi="Times New Roman"/>
          <w:b/>
        </w:rPr>
      </w:pPr>
    </w:p>
    <w:p w14:paraId="204284D3" w14:textId="45E2A32C" w:rsidR="006501D3" w:rsidRPr="000A4A24" w:rsidRDefault="006501D3" w:rsidP="006501D3">
      <w:pPr>
        <w:pStyle w:val="ListParagraph"/>
        <w:numPr>
          <w:ilvl w:val="0"/>
          <w:numId w:val="25"/>
        </w:numPr>
        <w:spacing w:beforeLines="50" w:before="120"/>
        <w:rPr>
          <w:rFonts w:ascii="Times New Roman" w:hAnsi="Times New Roman"/>
          <w:u w:val="single"/>
        </w:rPr>
      </w:pPr>
      <w:r>
        <w:rPr>
          <w:rFonts w:ascii="Times New Roman" w:hAnsi="Times New Roman"/>
          <w:u w:val="single"/>
        </w:rPr>
        <w:t>Measurement configuration</w:t>
      </w:r>
      <w:r w:rsidR="00990A3C">
        <w:rPr>
          <w:rFonts w:ascii="Times New Roman" w:hAnsi="Times New Roman"/>
          <w:u w:val="single"/>
        </w:rPr>
        <w:t>s</w:t>
      </w:r>
      <w:r w:rsidR="00F967C9">
        <w:rPr>
          <w:rFonts w:ascii="Times New Roman" w:hAnsi="Times New Roman"/>
          <w:u w:val="single"/>
        </w:rPr>
        <w:t xml:space="preserve"> and measurement reporting</w:t>
      </w:r>
      <w:r w:rsidRPr="000A4A24">
        <w:rPr>
          <w:rFonts w:ascii="Times New Roman" w:hAnsi="Times New Roman"/>
          <w:u w:val="single"/>
        </w:rPr>
        <w:t>:</w:t>
      </w:r>
    </w:p>
    <w:p w14:paraId="182A13C2" w14:textId="4A1B0E63" w:rsidR="00F967C9" w:rsidRDefault="00F967C9" w:rsidP="0069786E">
      <w:pPr>
        <w:spacing w:beforeLines="50" w:before="120"/>
        <w:rPr>
          <w:rFonts w:ascii="Times New Roman" w:hAnsi="Times New Roman"/>
        </w:rPr>
      </w:pPr>
      <w:r w:rsidRPr="0069786E">
        <w:rPr>
          <w:rFonts w:ascii="Times New Roman" w:hAnsi="Times New Roman"/>
        </w:rPr>
        <w:t xml:space="preserve">UTRA TDD: in most use cases, only NR to UTRA FDD measurement </w:t>
      </w:r>
      <w:r w:rsidR="00990A3C">
        <w:rPr>
          <w:rFonts w:ascii="Times New Roman" w:hAnsi="Times New Roman"/>
        </w:rPr>
        <w:t>is</w:t>
      </w:r>
      <w:r w:rsidRPr="0069786E">
        <w:rPr>
          <w:rFonts w:ascii="Times New Roman" w:hAnsi="Times New Roman"/>
        </w:rPr>
        <w:t xml:space="preserve"> needed</w:t>
      </w:r>
      <w:r w:rsidR="00A77343" w:rsidRPr="0069786E">
        <w:rPr>
          <w:rFonts w:ascii="Times New Roman" w:hAnsi="Times New Roman"/>
        </w:rPr>
        <w:t>. We do not see a strong use case for UTRA TDD but want RAN2 to have a discussion on whether to exclude the TDD case.</w:t>
      </w:r>
    </w:p>
    <w:p w14:paraId="2BC4E575" w14:textId="77777777" w:rsidR="0069786E" w:rsidRDefault="0069786E" w:rsidP="0069786E">
      <w:pPr>
        <w:spacing w:beforeLines="50" w:before="120"/>
        <w:rPr>
          <w:rFonts w:ascii="Times New Roman" w:hAnsi="Times New Roman"/>
          <w:b/>
        </w:rPr>
      </w:pPr>
      <w:r w:rsidRPr="00272694">
        <w:rPr>
          <w:rFonts w:ascii="Times New Roman" w:hAnsi="Times New Roman"/>
          <w:b/>
        </w:rPr>
        <w:t xml:space="preserve">Proposal </w:t>
      </w:r>
      <w:r>
        <w:rPr>
          <w:rFonts w:ascii="Times New Roman" w:hAnsi="Times New Roman"/>
          <w:b/>
        </w:rPr>
        <w:t>4</w:t>
      </w:r>
      <w:r w:rsidRPr="00272694">
        <w:rPr>
          <w:rFonts w:ascii="Times New Roman" w:hAnsi="Times New Roman"/>
          <w:b/>
        </w:rPr>
        <w:t xml:space="preserve">: </w:t>
      </w:r>
      <w:r>
        <w:rPr>
          <w:rFonts w:ascii="Times New Roman" w:hAnsi="Times New Roman"/>
          <w:b/>
        </w:rPr>
        <w:t>UTRA FDD measurement is required; RAN2 to discuss if UTRA TDD measurement is needed.</w:t>
      </w:r>
    </w:p>
    <w:p w14:paraId="132FCC7F" w14:textId="77777777" w:rsidR="0069786E" w:rsidRPr="0069786E" w:rsidRDefault="0069786E" w:rsidP="0069786E">
      <w:pPr>
        <w:spacing w:beforeLines="50" w:before="120"/>
        <w:rPr>
          <w:rFonts w:ascii="Times New Roman" w:hAnsi="Times New Roman"/>
        </w:rPr>
      </w:pPr>
    </w:p>
    <w:p w14:paraId="17D06758" w14:textId="4C96BA5C" w:rsidR="00272694" w:rsidRDefault="00F967C9" w:rsidP="0069786E">
      <w:pPr>
        <w:spacing w:beforeLines="50" w:before="120"/>
        <w:rPr>
          <w:rFonts w:ascii="Times New Roman" w:hAnsi="Times New Roman"/>
        </w:rPr>
      </w:pPr>
      <w:r w:rsidRPr="0069786E">
        <w:rPr>
          <w:rFonts w:ascii="Times New Roman" w:hAnsi="Times New Roman"/>
        </w:rPr>
        <w:t xml:space="preserve">CSG measurements: </w:t>
      </w:r>
      <w:r w:rsidR="0069786E">
        <w:rPr>
          <w:rFonts w:ascii="Times New Roman" w:hAnsi="Times New Roman"/>
        </w:rPr>
        <w:t xml:space="preserve">For SRVCC purpose, there is no use case to handover a UE from NR to a UTRA CSG cell. Thus, </w:t>
      </w:r>
      <w:r w:rsidR="00272694" w:rsidRPr="0069786E">
        <w:rPr>
          <w:rFonts w:ascii="Times New Roman" w:hAnsi="Times New Roman"/>
        </w:rPr>
        <w:t>CSG measurements should not be supported.</w:t>
      </w:r>
      <w:r w:rsidR="0069786E">
        <w:rPr>
          <w:rFonts w:ascii="Times New Roman" w:hAnsi="Times New Roman"/>
        </w:rPr>
        <w:t xml:space="preserve"> In </w:t>
      </w:r>
      <w:r w:rsidR="00122277">
        <w:rPr>
          <w:rFonts w:ascii="Times New Roman" w:hAnsi="Times New Roman"/>
        </w:rPr>
        <w:t xml:space="preserve">TS </w:t>
      </w:r>
      <w:r w:rsidR="0069786E">
        <w:rPr>
          <w:rFonts w:ascii="Times New Roman" w:hAnsi="Times New Roman"/>
        </w:rPr>
        <w:t>36.331, there is a note in section 5.5.1</w:t>
      </w:r>
      <w:r w:rsidR="001A2206">
        <w:rPr>
          <w:rFonts w:ascii="Times New Roman" w:hAnsi="Times New Roman"/>
        </w:rPr>
        <w:t xml:space="preserve"> as follows. This note should be equally applied to NR to UTRA case.</w:t>
      </w:r>
    </w:p>
    <w:p w14:paraId="54C8086F" w14:textId="77777777" w:rsidR="0069786E" w:rsidRDefault="0069786E" w:rsidP="0069786E">
      <w:pPr>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69786E" w14:paraId="30DCDDA6" w14:textId="77777777" w:rsidTr="0069786E">
        <w:tc>
          <w:tcPr>
            <w:tcW w:w="9629" w:type="dxa"/>
          </w:tcPr>
          <w:p w14:paraId="516F2B4C" w14:textId="59908E9C" w:rsidR="0069786E" w:rsidRPr="00122277" w:rsidRDefault="0069786E" w:rsidP="0069786E">
            <w:pPr>
              <w:pStyle w:val="NO"/>
              <w:rPr>
                <w:rFonts w:eastAsiaTheme="minorEastAsia"/>
                <w:sz w:val="22"/>
                <w:szCs w:val="22"/>
                <w:lang w:val="en-US" w:eastAsia="zh-TW"/>
              </w:rPr>
            </w:pPr>
            <w:r w:rsidRPr="00122277">
              <w:t>NOTE 3:</w:t>
            </w:r>
            <w:r w:rsidRPr="00122277">
              <w:tab/>
              <w:t xml:space="preserve">This specification </w:t>
            </w:r>
            <w:proofErr w:type="gramStart"/>
            <w:r w:rsidRPr="00122277">
              <w:t>is based on the assumption</w:t>
            </w:r>
            <w:proofErr w:type="gramEnd"/>
            <w:r w:rsidRPr="00122277">
              <w:t xml:space="preserve"> that typically CSG cells of home deployment type are not indicated within the neighbour list. Furthermore, the assumption is that for non-home deployments, the physical cell identity is unique within the area of a large macro cell (i.e. as for UTRAN).</w:t>
            </w:r>
          </w:p>
        </w:tc>
      </w:tr>
    </w:tbl>
    <w:p w14:paraId="034FA2D5" w14:textId="77777777" w:rsidR="0069786E" w:rsidRPr="0069786E" w:rsidRDefault="0069786E" w:rsidP="0069786E">
      <w:pPr>
        <w:spacing w:beforeLines="50" w:before="120"/>
        <w:rPr>
          <w:rFonts w:ascii="Times New Roman" w:hAnsi="Times New Roman"/>
        </w:rPr>
      </w:pPr>
    </w:p>
    <w:p w14:paraId="0E6F68D3" w14:textId="3CE10821" w:rsidR="00272694" w:rsidRDefault="00272694" w:rsidP="00272694">
      <w:pPr>
        <w:spacing w:beforeLines="50" w:before="120"/>
        <w:rPr>
          <w:rFonts w:ascii="Times New Roman" w:hAnsi="Times New Roman"/>
          <w:b/>
        </w:rPr>
      </w:pPr>
      <w:r w:rsidRPr="00272694">
        <w:rPr>
          <w:rFonts w:ascii="Times New Roman" w:hAnsi="Times New Roman"/>
          <w:b/>
        </w:rPr>
        <w:t xml:space="preserve">Proposal </w:t>
      </w:r>
      <w:r>
        <w:rPr>
          <w:rFonts w:ascii="Times New Roman" w:hAnsi="Times New Roman"/>
          <w:b/>
        </w:rPr>
        <w:t>5</w:t>
      </w:r>
      <w:r w:rsidRPr="00272694">
        <w:rPr>
          <w:rFonts w:ascii="Times New Roman" w:hAnsi="Times New Roman"/>
          <w:b/>
        </w:rPr>
        <w:t xml:space="preserve">: </w:t>
      </w:r>
      <w:r>
        <w:rPr>
          <w:rFonts w:ascii="Times New Roman" w:hAnsi="Times New Roman"/>
          <w:b/>
        </w:rPr>
        <w:t>UTRA CSG measurement is not supported.</w:t>
      </w:r>
      <w:r w:rsidR="0069786E">
        <w:rPr>
          <w:rFonts w:ascii="Times New Roman" w:hAnsi="Times New Roman"/>
          <w:b/>
        </w:rPr>
        <w:t xml:space="preserve"> CGI reporting is also not required.</w:t>
      </w:r>
    </w:p>
    <w:p w14:paraId="6055750D" w14:textId="63C09946" w:rsidR="00272694" w:rsidRDefault="00272694" w:rsidP="00272694">
      <w:pPr>
        <w:spacing w:beforeLines="50" w:before="120"/>
        <w:rPr>
          <w:rFonts w:ascii="Times New Roman" w:hAnsi="Times New Roman"/>
          <w:b/>
        </w:rPr>
      </w:pPr>
    </w:p>
    <w:p w14:paraId="6EC50AB0" w14:textId="0959ED9D" w:rsidR="00843B37" w:rsidRDefault="007B701C" w:rsidP="00272694">
      <w:pPr>
        <w:spacing w:beforeLines="50" w:before="120"/>
        <w:rPr>
          <w:rFonts w:ascii="Times New Roman" w:hAnsi="Times New Roman"/>
        </w:rPr>
      </w:pPr>
      <w:r>
        <w:rPr>
          <w:rFonts w:ascii="Times New Roman" w:hAnsi="Times New Roman"/>
        </w:rPr>
        <w:t xml:space="preserve">Triggering cells: in LTE to UTRA measurement, </w:t>
      </w:r>
      <w:r w:rsidR="00122277">
        <w:rPr>
          <w:rFonts w:ascii="Times New Roman" w:hAnsi="Times New Roman"/>
        </w:rPr>
        <w:t>the requirement for measurement reporting triggering is defined in section 5.5.4.1 in TS 36.331:</w:t>
      </w:r>
    </w:p>
    <w:p w14:paraId="59FD6318" w14:textId="77777777" w:rsidR="00122277" w:rsidRDefault="00122277" w:rsidP="00272694">
      <w:pPr>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122277" w14:paraId="63E95475" w14:textId="77777777" w:rsidTr="00122277">
        <w:tc>
          <w:tcPr>
            <w:tcW w:w="9629" w:type="dxa"/>
          </w:tcPr>
          <w:p w14:paraId="614E2E65" w14:textId="77777777" w:rsidR="00122277" w:rsidRPr="00D0452D" w:rsidRDefault="00122277" w:rsidP="00122277">
            <w:pPr>
              <w:pStyle w:val="B3"/>
            </w:pPr>
            <w:r w:rsidRPr="00D0452D">
              <w:t>3&gt;</w:t>
            </w:r>
            <w:r w:rsidRPr="00D0452D">
              <w:tab/>
              <w:t xml:space="preserve">else if the corresponding </w:t>
            </w:r>
            <w:proofErr w:type="spellStart"/>
            <w:r w:rsidRPr="00D0452D">
              <w:rPr>
                <w:i/>
              </w:rPr>
              <w:t>measObject</w:t>
            </w:r>
            <w:proofErr w:type="spellEnd"/>
            <w:r w:rsidRPr="00D0452D">
              <w:t xml:space="preserve"> concerns UTRA or CDMA2000:</w:t>
            </w:r>
          </w:p>
          <w:p w14:paraId="0F56D5D3" w14:textId="77777777" w:rsidR="00122277" w:rsidRPr="00D0452D" w:rsidRDefault="00122277" w:rsidP="00122277">
            <w:pPr>
              <w:pStyle w:val="B4"/>
            </w:pPr>
            <w:r w:rsidRPr="00D0452D">
              <w:t>4&gt;</w:t>
            </w:r>
            <w:r w:rsidRPr="00D0452D">
              <w:tab/>
              <w:t xml:space="preserve">consider a neighbouring cell on the associated frequency to be applicable when the concerned cell is included in the </w:t>
            </w:r>
            <w:proofErr w:type="spellStart"/>
            <w:r w:rsidRPr="00D0452D">
              <w:rPr>
                <w:i/>
              </w:rPr>
              <w:t>cellsToAddModList</w:t>
            </w:r>
            <w:proofErr w:type="spellEnd"/>
            <w:r w:rsidRPr="00D0452D">
              <w:t xml:space="preserve"> defined within the </w:t>
            </w:r>
            <w:proofErr w:type="spellStart"/>
            <w:r w:rsidRPr="00D0452D">
              <w:rPr>
                <w:i/>
              </w:rPr>
              <w:t>VarMeasConfig</w:t>
            </w:r>
            <w:proofErr w:type="spellEnd"/>
            <w:r w:rsidRPr="00D0452D">
              <w:t xml:space="preserve"> for this </w:t>
            </w:r>
            <w:proofErr w:type="spellStart"/>
            <w:r w:rsidRPr="00D0452D">
              <w:rPr>
                <w:i/>
              </w:rPr>
              <w:t>measId</w:t>
            </w:r>
            <w:proofErr w:type="spellEnd"/>
            <w:r w:rsidRPr="00D0452D">
              <w:t xml:space="preserve"> (i.e. the cell is included in the white-list);</w:t>
            </w:r>
          </w:p>
          <w:p w14:paraId="1155C02B" w14:textId="77777777" w:rsidR="00122277" w:rsidRPr="00D0452D" w:rsidRDefault="00122277" w:rsidP="00122277">
            <w:pPr>
              <w:pStyle w:val="NO"/>
              <w:tabs>
                <w:tab w:val="left" w:pos="450"/>
              </w:tabs>
            </w:pPr>
            <w:r w:rsidRPr="00D0452D">
              <w:t>NOTE</w:t>
            </w:r>
            <w:r w:rsidRPr="00D0452D">
              <w:rPr>
                <w:lang w:eastAsia="zh-TW"/>
              </w:rPr>
              <w:t xml:space="preserve"> 0:</w:t>
            </w:r>
            <w:r w:rsidRPr="00D0452D">
              <w:tab/>
              <w:t xml:space="preserve">The UE may also consider a neighbouring cell on the associated UTRA frequency to be applicable when the concerned cell is included in the </w:t>
            </w:r>
            <w:proofErr w:type="spellStart"/>
            <w:r w:rsidRPr="00D0452D">
              <w:rPr>
                <w:i/>
                <w:lang w:eastAsia="zh-TW"/>
              </w:rPr>
              <w:t>csg-allowedReportingCells</w:t>
            </w:r>
            <w:proofErr w:type="spellEnd"/>
            <w:r w:rsidRPr="00D0452D">
              <w:t xml:space="preserve"> within the </w:t>
            </w:r>
            <w:proofErr w:type="spellStart"/>
            <w:r w:rsidRPr="00D0452D">
              <w:rPr>
                <w:i/>
              </w:rPr>
              <w:t>VarMeasConfig</w:t>
            </w:r>
            <w:proofErr w:type="spellEnd"/>
            <w:r w:rsidRPr="00D0452D">
              <w:t xml:space="preserve"> for this </w:t>
            </w:r>
            <w:proofErr w:type="spellStart"/>
            <w:r w:rsidRPr="00D0452D">
              <w:rPr>
                <w:i/>
              </w:rPr>
              <w:t>measId</w:t>
            </w:r>
            <w:proofErr w:type="spellEnd"/>
            <w:r w:rsidRPr="00D0452D">
              <w:t xml:space="preserve">, if configured in the corresponding </w:t>
            </w:r>
            <w:proofErr w:type="spellStart"/>
            <w:r w:rsidRPr="00D0452D">
              <w:rPr>
                <w:i/>
              </w:rPr>
              <w:t>measObjectUTRA</w:t>
            </w:r>
            <w:proofErr w:type="spellEnd"/>
            <w:r w:rsidRPr="00D0452D">
              <w:t xml:space="preserve"> (i.e. the cell is included in the range of physical cell identities for which reporting is allowed).</w:t>
            </w:r>
          </w:p>
          <w:p w14:paraId="5B799F83" w14:textId="77777777" w:rsidR="00122277" w:rsidRPr="00122277" w:rsidRDefault="00122277" w:rsidP="00272694">
            <w:pPr>
              <w:spacing w:beforeLines="50" w:before="120"/>
              <w:rPr>
                <w:rFonts w:ascii="Times New Roman" w:hAnsi="Times New Roman"/>
                <w:lang w:val="en-GB"/>
              </w:rPr>
            </w:pPr>
          </w:p>
        </w:tc>
      </w:tr>
    </w:tbl>
    <w:p w14:paraId="6402CEE0" w14:textId="12886391" w:rsidR="00122277" w:rsidRDefault="00122277" w:rsidP="00272694">
      <w:pPr>
        <w:spacing w:beforeLines="50" w:before="120"/>
        <w:rPr>
          <w:rFonts w:ascii="Times New Roman" w:hAnsi="Times New Roman"/>
        </w:rPr>
      </w:pPr>
      <w:r>
        <w:rPr>
          <w:rFonts w:ascii="Times New Roman" w:hAnsi="Times New Roman"/>
        </w:rPr>
        <w:t>That is, only listed cells are required to trigger measurement reporting. Detected cells are not considered. Similar requirement should be also applied to NR to UTRA measurement.</w:t>
      </w:r>
    </w:p>
    <w:p w14:paraId="15605A71" w14:textId="13546E2F" w:rsidR="00122277" w:rsidRPr="00DA109E" w:rsidRDefault="00122277" w:rsidP="00272694">
      <w:pPr>
        <w:spacing w:beforeLines="50" w:before="120"/>
        <w:rPr>
          <w:rFonts w:ascii="Times New Roman" w:hAnsi="Times New Roman"/>
        </w:rPr>
      </w:pPr>
      <w:r w:rsidRPr="00272694">
        <w:rPr>
          <w:rFonts w:ascii="Times New Roman" w:hAnsi="Times New Roman"/>
          <w:b/>
        </w:rPr>
        <w:t xml:space="preserve">Proposal </w:t>
      </w:r>
      <w:r>
        <w:rPr>
          <w:rFonts w:ascii="Times New Roman" w:hAnsi="Times New Roman"/>
          <w:b/>
        </w:rPr>
        <w:t>6</w:t>
      </w:r>
      <w:r w:rsidRPr="00272694">
        <w:rPr>
          <w:rFonts w:ascii="Times New Roman" w:hAnsi="Times New Roman"/>
          <w:b/>
        </w:rPr>
        <w:t xml:space="preserve">: </w:t>
      </w:r>
      <w:r>
        <w:rPr>
          <w:rFonts w:ascii="Times New Roman" w:hAnsi="Times New Roman"/>
          <w:b/>
        </w:rPr>
        <w:t>the UE is only required to measurement and report the listed cells.</w:t>
      </w:r>
    </w:p>
    <w:p w14:paraId="3507EFA9" w14:textId="77777777" w:rsidR="00843B37" w:rsidRDefault="00843B37" w:rsidP="00272694">
      <w:pPr>
        <w:spacing w:beforeLines="50" w:before="120"/>
        <w:rPr>
          <w:rFonts w:ascii="Times New Roman" w:hAnsi="Times New Roman"/>
          <w:b/>
        </w:rPr>
      </w:pPr>
    </w:p>
    <w:p w14:paraId="4F50C90F" w14:textId="4F071B27" w:rsidR="00272694" w:rsidRDefault="00272694" w:rsidP="00272694">
      <w:pPr>
        <w:pStyle w:val="ListParagraph"/>
        <w:numPr>
          <w:ilvl w:val="0"/>
          <w:numId w:val="25"/>
        </w:numPr>
        <w:spacing w:beforeLines="50" w:before="120"/>
        <w:rPr>
          <w:rFonts w:ascii="Times New Roman" w:hAnsi="Times New Roman"/>
          <w:u w:val="single"/>
        </w:rPr>
      </w:pPr>
      <w:r w:rsidRPr="00272694">
        <w:rPr>
          <w:rFonts w:ascii="Times New Roman" w:hAnsi="Times New Roman"/>
          <w:u w:val="single"/>
        </w:rPr>
        <w:t xml:space="preserve">Measurement </w:t>
      </w:r>
      <w:r>
        <w:rPr>
          <w:rFonts w:ascii="Times New Roman" w:hAnsi="Times New Roman"/>
          <w:u w:val="single"/>
        </w:rPr>
        <w:t>gap</w:t>
      </w:r>
      <w:r w:rsidR="00A77343">
        <w:rPr>
          <w:rFonts w:ascii="Times New Roman" w:hAnsi="Times New Roman"/>
          <w:u w:val="single"/>
        </w:rPr>
        <w:t xml:space="preserve"> configuration</w:t>
      </w:r>
      <w:r w:rsidRPr="00272694">
        <w:rPr>
          <w:rFonts w:ascii="Times New Roman" w:hAnsi="Times New Roman"/>
          <w:u w:val="single"/>
        </w:rPr>
        <w:t>:</w:t>
      </w:r>
    </w:p>
    <w:p w14:paraId="3D536C07" w14:textId="44671FC9" w:rsidR="0073711A" w:rsidRPr="0073711A" w:rsidRDefault="0073711A" w:rsidP="0073711A">
      <w:pPr>
        <w:spacing w:beforeLines="50" w:before="120"/>
        <w:rPr>
          <w:rFonts w:ascii="Times New Roman" w:hAnsi="Times New Roman"/>
        </w:rPr>
      </w:pPr>
      <w:r>
        <w:rPr>
          <w:rFonts w:ascii="Times New Roman" w:hAnsi="Times New Roman"/>
        </w:rPr>
        <w:t xml:space="preserve">In </w:t>
      </w:r>
      <w:r w:rsidR="00A77343">
        <w:rPr>
          <w:rFonts w:ascii="Times New Roman" w:hAnsi="Times New Roman"/>
        </w:rPr>
        <w:t xml:space="preserve">Rel-15, </w:t>
      </w:r>
      <w:r>
        <w:rPr>
          <w:rFonts w:ascii="Times New Roman" w:hAnsi="Times New Roman"/>
        </w:rPr>
        <w:t>NR to LTE</w:t>
      </w:r>
      <w:r w:rsidR="00A77343">
        <w:rPr>
          <w:rFonts w:ascii="Times New Roman" w:hAnsi="Times New Roman"/>
        </w:rPr>
        <w:t xml:space="preserve"> gap configurations (per-UE gap, FR1 gap, FR2 gap) and gap/gapless capabilities are finalized after long discussion. The similar practice may happen again for NR to UTRA measurements. In that sense, RAN2 should not take any actions until RAN4 make decisions.  </w:t>
      </w:r>
    </w:p>
    <w:p w14:paraId="019D48AA" w14:textId="483CBCCC" w:rsidR="00A77343" w:rsidRDefault="00A77343" w:rsidP="00A77343">
      <w:pPr>
        <w:spacing w:beforeLines="50" w:before="120"/>
        <w:rPr>
          <w:rFonts w:ascii="Times New Roman" w:hAnsi="Times New Roman"/>
          <w:b/>
        </w:rPr>
      </w:pPr>
      <w:r w:rsidRPr="00272694">
        <w:rPr>
          <w:rFonts w:ascii="Times New Roman" w:hAnsi="Times New Roman"/>
          <w:b/>
        </w:rPr>
        <w:t xml:space="preserve">Proposal </w:t>
      </w:r>
      <w:r w:rsidR="00122277">
        <w:rPr>
          <w:rFonts w:ascii="Times New Roman" w:hAnsi="Times New Roman"/>
          <w:b/>
        </w:rPr>
        <w:t>7</w:t>
      </w:r>
      <w:r>
        <w:rPr>
          <w:rFonts w:ascii="Times New Roman" w:hAnsi="Times New Roman"/>
          <w:b/>
        </w:rPr>
        <w:t>: RAN2 shall not take any actions on measurement gap configuration/signaling until RAN4 decisions are made.</w:t>
      </w:r>
    </w:p>
    <w:p w14:paraId="0E61AA17" w14:textId="49785175" w:rsidR="00404A8B" w:rsidRDefault="00404A8B" w:rsidP="00404A8B">
      <w:pPr>
        <w:rPr>
          <w:lang w:val="en-GB" w:eastAsia="en-US"/>
        </w:rPr>
      </w:pPr>
    </w:p>
    <w:p w14:paraId="016302AC" w14:textId="5BC10B52" w:rsidR="00A17DB7" w:rsidRPr="00BA4886"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1B2289A4" w14:textId="23D3F521" w:rsidR="00BB7841" w:rsidRPr="0035180F" w:rsidRDefault="00D17586" w:rsidP="00BB7841">
      <w:pPr>
        <w:spacing w:after="240"/>
        <w:rPr>
          <w:rFonts w:ascii="Times New Roman" w:hAnsi="Times New Roman"/>
        </w:rPr>
      </w:pPr>
      <w:r w:rsidRPr="0035180F">
        <w:rPr>
          <w:rFonts w:ascii="Times New Roman" w:hAnsi="Times New Roman"/>
        </w:rPr>
        <w:t xml:space="preserve">This document </w:t>
      </w:r>
      <w:r w:rsidR="0035180F" w:rsidRPr="0035180F">
        <w:rPr>
          <w:rFonts w:ascii="Times New Roman" w:hAnsi="Times New Roman"/>
        </w:rPr>
        <w:t xml:space="preserve">discussed SMTC configurations for LTE handover with NR SCG addition or change.  </w:t>
      </w:r>
      <w:r w:rsidR="0035180F">
        <w:rPr>
          <w:rFonts w:ascii="Times New Roman" w:hAnsi="Times New Roman"/>
        </w:rPr>
        <w:t>We have t</w:t>
      </w:r>
      <w:r w:rsidR="0035180F" w:rsidRPr="0035180F">
        <w:rPr>
          <w:rFonts w:ascii="Times New Roman" w:hAnsi="Times New Roman"/>
        </w:rPr>
        <w:t>he following observations and proposals</w:t>
      </w:r>
      <w:r w:rsidR="0035180F">
        <w:rPr>
          <w:rFonts w:ascii="Times New Roman" w:hAnsi="Times New Roman"/>
        </w:rPr>
        <w:t>:</w:t>
      </w:r>
      <w:r w:rsidR="0035180F" w:rsidRPr="0035180F">
        <w:rPr>
          <w:rFonts w:ascii="Times New Roman" w:hAnsi="Times New Roman"/>
        </w:rPr>
        <w:t xml:space="preserve"> </w:t>
      </w:r>
    </w:p>
    <w:p w14:paraId="256F4EC4" w14:textId="28CEAD0D" w:rsidR="00990A3C" w:rsidRPr="00ED479B" w:rsidRDefault="00990A3C" w:rsidP="00990A3C">
      <w:pPr>
        <w:spacing w:beforeLines="50" w:before="120"/>
        <w:rPr>
          <w:rFonts w:ascii="Times New Roman" w:hAnsi="Times New Roman"/>
          <w:b/>
        </w:rPr>
      </w:pPr>
      <w:r w:rsidRPr="00ED479B">
        <w:rPr>
          <w:rFonts w:ascii="Times New Roman" w:hAnsi="Times New Roman"/>
          <w:b/>
        </w:rPr>
        <w:t xml:space="preserve">Proposal 1: </w:t>
      </w:r>
      <w:r>
        <w:rPr>
          <w:rFonts w:ascii="Times New Roman" w:hAnsi="Times New Roman"/>
          <w:b/>
        </w:rPr>
        <w:t xml:space="preserve">inter-RAT measurement from NR to UTRA should be light-weighted and be restricted to the purpose of NR to UTRA SRVCC. </w:t>
      </w:r>
    </w:p>
    <w:p w14:paraId="7B326B96" w14:textId="77777777" w:rsidR="00990A3C" w:rsidRDefault="00990A3C" w:rsidP="00990A3C">
      <w:pPr>
        <w:spacing w:beforeLines="50" w:before="120"/>
        <w:rPr>
          <w:rFonts w:ascii="Times New Roman" w:hAnsi="Times New Roman"/>
          <w:b/>
        </w:rPr>
      </w:pPr>
      <w:r w:rsidRPr="00ED479B">
        <w:rPr>
          <w:rFonts w:ascii="Times New Roman" w:hAnsi="Times New Roman"/>
          <w:b/>
        </w:rPr>
        <w:t xml:space="preserve">Proposal </w:t>
      </w:r>
      <w:r>
        <w:rPr>
          <w:rFonts w:ascii="Times New Roman" w:hAnsi="Times New Roman"/>
          <w:b/>
        </w:rPr>
        <w:t>2</w:t>
      </w:r>
      <w:r w:rsidRPr="00ED479B">
        <w:rPr>
          <w:rFonts w:ascii="Times New Roman" w:hAnsi="Times New Roman"/>
          <w:b/>
        </w:rPr>
        <w:t xml:space="preserve">: </w:t>
      </w:r>
      <w:r>
        <w:rPr>
          <w:rFonts w:ascii="Times New Roman" w:hAnsi="Times New Roman"/>
          <w:b/>
        </w:rPr>
        <w:t>the UE is not required to support idle mode measurements towards UTRA. No new system information for UTRA frequencies/cells is needed.</w:t>
      </w:r>
    </w:p>
    <w:p w14:paraId="033D591B" w14:textId="77777777" w:rsidR="00990A3C" w:rsidRDefault="00990A3C" w:rsidP="00990A3C">
      <w:pPr>
        <w:spacing w:beforeLines="50" w:before="120"/>
        <w:rPr>
          <w:rFonts w:ascii="Times New Roman" w:hAnsi="Times New Roman"/>
          <w:b/>
        </w:rPr>
      </w:pPr>
      <w:r w:rsidRPr="00ED479B">
        <w:rPr>
          <w:rFonts w:ascii="Times New Roman" w:hAnsi="Times New Roman"/>
          <w:b/>
        </w:rPr>
        <w:t xml:space="preserve">Proposal </w:t>
      </w:r>
      <w:r>
        <w:rPr>
          <w:rFonts w:ascii="Times New Roman" w:hAnsi="Times New Roman"/>
          <w:b/>
        </w:rPr>
        <w:t>3</w:t>
      </w:r>
      <w:r w:rsidRPr="00ED479B">
        <w:rPr>
          <w:rFonts w:ascii="Times New Roman" w:hAnsi="Times New Roman"/>
          <w:b/>
        </w:rPr>
        <w:t>:</w:t>
      </w:r>
      <w:r>
        <w:rPr>
          <w:rFonts w:ascii="Times New Roman" w:hAnsi="Times New Roman"/>
          <w:b/>
        </w:rPr>
        <w:t xml:space="preserve"> for NR to UTRA measurement,</w:t>
      </w:r>
      <w:r w:rsidRPr="00ED479B">
        <w:rPr>
          <w:rFonts w:ascii="Times New Roman" w:hAnsi="Times New Roman"/>
          <w:b/>
        </w:rPr>
        <w:t xml:space="preserve"> </w:t>
      </w:r>
      <w:r>
        <w:rPr>
          <w:rFonts w:ascii="Times New Roman" w:hAnsi="Times New Roman"/>
          <w:b/>
        </w:rPr>
        <w:t>both event B1 and event B2 shall be supported; periodical measurement is not supported.</w:t>
      </w:r>
    </w:p>
    <w:p w14:paraId="6E40285A" w14:textId="77777777" w:rsidR="001A2206" w:rsidRDefault="001A2206" w:rsidP="001A2206">
      <w:pPr>
        <w:spacing w:beforeLines="50" w:before="120"/>
        <w:rPr>
          <w:rFonts w:ascii="Times New Roman" w:hAnsi="Times New Roman"/>
          <w:b/>
        </w:rPr>
      </w:pPr>
      <w:r w:rsidRPr="00272694">
        <w:rPr>
          <w:rFonts w:ascii="Times New Roman" w:hAnsi="Times New Roman"/>
          <w:b/>
        </w:rPr>
        <w:t xml:space="preserve">Proposal </w:t>
      </w:r>
      <w:r>
        <w:rPr>
          <w:rFonts w:ascii="Times New Roman" w:hAnsi="Times New Roman"/>
          <w:b/>
        </w:rPr>
        <w:t>4</w:t>
      </w:r>
      <w:r w:rsidRPr="00272694">
        <w:rPr>
          <w:rFonts w:ascii="Times New Roman" w:hAnsi="Times New Roman"/>
          <w:b/>
        </w:rPr>
        <w:t xml:space="preserve">: </w:t>
      </w:r>
      <w:r>
        <w:rPr>
          <w:rFonts w:ascii="Times New Roman" w:hAnsi="Times New Roman"/>
          <w:b/>
        </w:rPr>
        <w:t>UTRA FDD measurement is required; RAN2 to discuss if UTRA TDD measurement is needed.</w:t>
      </w:r>
    </w:p>
    <w:p w14:paraId="262F538C" w14:textId="7275B43D" w:rsidR="001A2206" w:rsidRDefault="001A2206" w:rsidP="001A2206">
      <w:pPr>
        <w:spacing w:beforeLines="50" w:before="120"/>
        <w:rPr>
          <w:rFonts w:ascii="Times New Roman" w:hAnsi="Times New Roman"/>
          <w:b/>
        </w:rPr>
      </w:pPr>
      <w:r w:rsidRPr="00272694">
        <w:rPr>
          <w:rFonts w:ascii="Times New Roman" w:hAnsi="Times New Roman"/>
          <w:b/>
        </w:rPr>
        <w:t xml:space="preserve">Proposal </w:t>
      </w:r>
      <w:r>
        <w:rPr>
          <w:rFonts w:ascii="Times New Roman" w:hAnsi="Times New Roman"/>
          <w:b/>
        </w:rPr>
        <w:t>5</w:t>
      </w:r>
      <w:r w:rsidRPr="00272694">
        <w:rPr>
          <w:rFonts w:ascii="Times New Roman" w:hAnsi="Times New Roman"/>
          <w:b/>
        </w:rPr>
        <w:t xml:space="preserve">: </w:t>
      </w:r>
      <w:r>
        <w:rPr>
          <w:rFonts w:ascii="Times New Roman" w:hAnsi="Times New Roman"/>
          <w:b/>
        </w:rPr>
        <w:t>UTRA CSG measurement is not supported. CGI reporting is also not required.</w:t>
      </w:r>
    </w:p>
    <w:p w14:paraId="28908FD2" w14:textId="4EC1BED2" w:rsidR="00122277" w:rsidRPr="00122277" w:rsidRDefault="00122277" w:rsidP="001A2206">
      <w:pPr>
        <w:spacing w:beforeLines="50" w:before="120"/>
        <w:rPr>
          <w:rFonts w:ascii="Times New Roman" w:hAnsi="Times New Roman"/>
        </w:rPr>
      </w:pPr>
      <w:r w:rsidRPr="00272694">
        <w:rPr>
          <w:rFonts w:ascii="Times New Roman" w:hAnsi="Times New Roman"/>
          <w:b/>
        </w:rPr>
        <w:t xml:space="preserve">Proposal </w:t>
      </w:r>
      <w:r>
        <w:rPr>
          <w:rFonts w:ascii="Times New Roman" w:hAnsi="Times New Roman"/>
          <w:b/>
        </w:rPr>
        <w:t>6</w:t>
      </w:r>
      <w:r w:rsidRPr="00272694">
        <w:rPr>
          <w:rFonts w:ascii="Times New Roman" w:hAnsi="Times New Roman"/>
          <w:b/>
        </w:rPr>
        <w:t xml:space="preserve">: </w:t>
      </w:r>
      <w:r>
        <w:rPr>
          <w:rFonts w:ascii="Times New Roman" w:hAnsi="Times New Roman"/>
          <w:b/>
        </w:rPr>
        <w:t>the UE is only required to measurement and report the listed cells.</w:t>
      </w:r>
    </w:p>
    <w:p w14:paraId="2CE2568A" w14:textId="2FC73B25" w:rsidR="001A2206" w:rsidRPr="0088387A" w:rsidRDefault="001A2206" w:rsidP="001A2206">
      <w:pPr>
        <w:spacing w:beforeLines="50" w:before="120"/>
        <w:rPr>
          <w:rFonts w:ascii="Times New Roman" w:eastAsia="宋体" w:hAnsi="Times New Roman"/>
          <w:b/>
          <w:lang w:eastAsia="zh-CN"/>
        </w:rPr>
      </w:pPr>
      <w:r w:rsidRPr="00272694">
        <w:rPr>
          <w:rFonts w:ascii="Times New Roman" w:hAnsi="Times New Roman"/>
          <w:b/>
        </w:rPr>
        <w:t xml:space="preserve">Proposal </w:t>
      </w:r>
      <w:r w:rsidR="00122277">
        <w:rPr>
          <w:rFonts w:ascii="Times New Roman" w:hAnsi="Times New Roman"/>
          <w:b/>
        </w:rPr>
        <w:t>7</w:t>
      </w:r>
      <w:r>
        <w:rPr>
          <w:rFonts w:ascii="Times New Roman" w:hAnsi="Times New Roman"/>
          <w:b/>
        </w:rPr>
        <w:t>: RAN2 shall not take any actions on measurement gap configuration/signaling until RAN4 decisions are made.</w:t>
      </w:r>
    </w:p>
    <w:p w14:paraId="23349F6C" w14:textId="77777777" w:rsidR="0022584B" w:rsidRDefault="0022584B" w:rsidP="0022584B">
      <w:pPr>
        <w:spacing w:after="240"/>
        <w:rPr>
          <w:rFonts w:ascii="Times New Roman" w:hAnsi="Times New Roman"/>
          <w:b/>
          <w:lang w:val="en-GB"/>
        </w:rPr>
      </w:pPr>
    </w:p>
    <w:p w14:paraId="1CD51B74" w14:textId="71304200" w:rsidR="00A07E02" w:rsidRPr="00BA4886" w:rsidRDefault="007E37A2" w:rsidP="00A07E02">
      <w:pPr>
        <w:pStyle w:val="Heading1"/>
        <w:overflowPunct w:val="0"/>
        <w:autoSpaceDE w:val="0"/>
        <w:autoSpaceDN w:val="0"/>
        <w:adjustRightInd w:val="0"/>
        <w:rPr>
          <w:rFonts w:eastAsia="PMingLiU" w:cs="Arial"/>
        </w:rPr>
      </w:pPr>
      <w:r w:rsidRPr="00BA4886">
        <w:rPr>
          <w:rFonts w:eastAsia="PMingLiU" w:cs="Arial"/>
          <w:lang w:eastAsia="zh-TW"/>
        </w:rPr>
        <w:t>R</w:t>
      </w:r>
      <w:r w:rsidR="00A07E02" w:rsidRPr="00BA4886">
        <w:rPr>
          <w:rFonts w:eastAsia="PMingLiU" w:cs="Arial"/>
        </w:rPr>
        <w:t>eference</w:t>
      </w:r>
      <w:r w:rsidR="00674996" w:rsidRPr="00BA4886">
        <w:rPr>
          <w:rFonts w:eastAsia="PMingLiU" w:cs="Arial"/>
        </w:rPr>
        <w:t>s</w:t>
      </w:r>
    </w:p>
    <w:p w14:paraId="62128EA8" w14:textId="3C837086" w:rsidR="003D7442" w:rsidRDefault="0060623C" w:rsidP="003D7442">
      <w:pPr>
        <w:numPr>
          <w:ilvl w:val="0"/>
          <w:numId w:val="10"/>
        </w:numPr>
        <w:overflowPunct w:val="0"/>
        <w:autoSpaceDE w:val="0"/>
        <w:autoSpaceDN w:val="0"/>
        <w:adjustRightInd w:val="0"/>
        <w:spacing w:after="120"/>
        <w:jc w:val="both"/>
        <w:rPr>
          <w:rFonts w:ascii="Arial" w:hAnsi="Arial" w:cs="Arial"/>
          <w:sz w:val="20"/>
          <w:szCs w:val="20"/>
          <w:lang w:val="en-GB"/>
        </w:rPr>
      </w:pPr>
      <w:r w:rsidRPr="0060623C">
        <w:rPr>
          <w:rFonts w:ascii="Arial" w:hAnsi="Arial" w:cs="Arial"/>
          <w:sz w:val="20"/>
          <w:szCs w:val="20"/>
          <w:lang w:val="en-GB"/>
        </w:rPr>
        <w:t>RP-190713</w:t>
      </w:r>
      <w:r w:rsidR="000B7B68">
        <w:rPr>
          <w:rFonts w:ascii="Arial" w:hAnsi="Arial" w:cs="Arial"/>
          <w:sz w:val="20"/>
          <w:szCs w:val="20"/>
          <w:lang w:val="en-GB"/>
        </w:rPr>
        <w:t>, “</w:t>
      </w:r>
      <w:r w:rsidRPr="0060623C">
        <w:rPr>
          <w:rFonts w:ascii="Arial" w:hAnsi="Arial" w:cs="Arial"/>
          <w:sz w:val="20"/>
          <w:szCs w:val="20"/>
          <w:lang w:val="en-GB"/>
        </w:rPr>
        <w:t>Single Radio Voice Call Continuity from 5G to 3G</w:t>
      </w:r>
      <w:r w:rsidR="004F781A">
        <w:rPr>
          <w:rFonts w:ascii="Arial" w:hAnsi="Arial" w:cs="Arial"/>
          <w:sz w:val="20"/>
          <w:szCs w:val="20"/>
          <w:lang w:val="en-GB"/>
        </w:rPr>
        <w:t>”</w:t>
      </w:r>
    </w:p>
    <w:sectPr w:rsidR="003D744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F4449" w14:textId="77777777" w:rsidR="0025584C" w:rsidRDefault="0025584C">
      <w:pPr>
        <w:pStyle w:val="TAL"/>
      </w:pPr>
      <w:r>
        <w:separator/>
      </w:r>
    </w:p>
  </w:endnote>
  <w:endnote w:type="continuationSeparator" w:id="0">
    <w:p w14:paraId="3EC1C293" w14:textId="77777777" w:rsidR="0025584C" w:rsidRDefault="0025584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5E2223" w:rsidRDefault="005E2223">
    <w:pPr>
      <w:pStyle w:val="Footer"/>
    </w:pPr>
    <w:r>
      <w:fldChar w:fldCharType="begin"/>
    </w:r>
    <w:r>
      <w:instrText xml:space="preserve"> PAGE   \* MERGEFORMAT </w:instrText>
    </w:r>
    <w:r>
      <w:fldChar w:fldCharType="separate"/>
    </w:r>
    <w:r w:rsidR="00D17586">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3AEA8" w14:textId="77777777" w:rsidR="0025584C" w:rsidRDefault="0025584C">
      <w:pPr>
        <w:pStyle w:val="TAL"/>
      </w:pPr>
      <w:r>
        <w:separator/>
      </w:r>
    </w:p>
  </w:footnote>
  <w:footnote w:type="continuationSeparator" w:id="0">
    <w:p w14:paraId="12F5714C" w14:textId="77777777" w:rsidR="0025584C" w:rsidRDefault="0025584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1CEA"/>
    <w:multiLevelType w:val="hybridMultilevel"/>
    <w:tmpl w:val="8D4C4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D2496"/>
    <w:multiLevelType w:val="hybridMultilevel"/>
    <w:tmpl w:val="E59AE0B8"/>
    <w:lvl w:ilvl="0" w:tplc="C3B48D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B7707"/>
    <w:multiLevelType w:val="hybridMultilevel"/>
    <w:tmpl w:val="A51E0BA8"/>
    <w:lvl w:ilvl="0" w:tplc="11AC300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7471D2"/>
    <w:multiLevelType w:val="hybridMultilevel"/>
    <w:tmpl w:val="088EAFFC"/>
    <w:lvl w:ilvl="0" w:tplc="4A8EC2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D7E17"/>
    <w:multiLevelType w:val="hybridMultilevel"/>
    <w:tmpl w:val="8D4C4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119BD"/>
    <w:multiLevelType w:val="hybridMultilevel"/>
    <w:tmpl w:val="FA1CA0F4"/>
    <w:lvl w:ilvl="0" w:tplc="29667F8E">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1B57582"/>
    <w:multiLevelType w:val="hybridMultilevel"/>
    <w:tmpl w:val="D708057C"/>
    <w:lvl w:ilvl="0" w:tplc="DC1E2788">
      <w:start w:val="1"/>
      <w:numFmt w:val="lowerLetter"/>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7752C"/>
    <w:multiLevelType w:val="hybridMultilevel"/>
    <w:tmpl w:val="8D4C4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672DE"/>
    <w:multiLevelType w:val="hybridMultilevel"/>
    <w:tmpl w:val="6AE660B2"/>
    <w:lvl w:ilvl="0" w:tplc="F806A69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8684EDA"/>
    <w:multiLevelType w:val="hybridMultilevel"/>
    <w:tmpl w:val="C004D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8256B"/>
    <w:multiLevelType w:val="hybridMultilevel"/>
    <w:tmpl w:val="F7D41C98"/>
    <w:lvl w:ilvl="0" w:tplc="591058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3D1152"/>
    <w:multiLevelType w:val="hybridMultilevel"/>
    <w:tmpl w:val="8D4C4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606B8"/>
    <w:multiLevelType w:val="hybridMultilevel"/>
    <w:tmpl w:val="D708057C"/>
    <w:lvl w:ilvl="0" w:tplc="DC1E2788">
      <w:start w:val="1"/>
      <w:numFmt w:val="lowerLetter"/>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2"/>
  </w:num>
  <w:num w:numId="4">
    <w:abstractNumId w:val="16"/>
  </w:num>
  <w:num w:numId="5">
    <w:abstractNumId w:val="7"/>
  </w:num>
  <w:num w:numId="6">
    <w:abstractNumId w:val="6"/>
  </w:num>
  <w:num w:numId="7">
    <w:abstractNumId w:val="28"/>
  </w:num>
  <w:num w:numId="8">
    <w:abstractNumId w:val="26"/>
  </w:num>
  <w:num w:numId="9">
    <w:abstractNumId w:val="2"/>
  </w:num>
  <w:num w:numId="10">
    <w:abstractNumId w:val="5"/>
  </w:num>
  <w:num w:numId="11">
    <w:abstractNumId w:val="20"/>
  </w:num>
  <w:num w:numId="12">
    <w:abstractNumId w:val="25"/>
  </w:num>
  <w:num w:numId="13">
    <w:abstractNumId w:val="24"/>
  </w:num>
  <w:num w:numId="14">
    <w:abstractNumId w:val="4"/>
  </w:num>
  <w:num w:numId="15">
    <w:abstractNumId w:val="18"/>
  </w:num>
  <w:num w:numId="16">
    <w:abstractNumId w:val="9"/>
  </w:num>
  <w:num w:numId="17">
    <w:abstractNumId w:val="23"/>
  </w:num>
  <w:num w:numId="18">
    <w:abstractNumId w:val="8"/>
  </w:num>
  <w:num w:numId="19">
    <w:abstractNumId w:val="11"/>
  </w:num>
  <w:num w:numId="20">
    <w:abstractNumId w:val="19"/>
  </w:num>
  <w:num w:numId="21">
    <w:abstractNumId w:val="15"/>
  </w:num>
  <w:num w:numId="22">
    <w:abstractNumId w:val="27"/>
  </w:num>
  <w:num w:numId="23">
    <w:abstractNumId w:val="13"/>
  </w:num>
  <w:num w:numId="24">
    <w:abstractNumId w:val="17"/>
  </w:num>
  <w:num w:numId="25">
    <w:abstractNumId w:val="14"/>
  </w:num>
  <w:num w:numId="26">
    <w:abstractNumId w:val="0"/>
  </w:num>
  <w:num w:numId="27">
    <w:abstractNumId w:val="1"/>
  </w:num>
  <w:num w:numId="28">
    <w:abstractNumId w:val="3"/>
  </w:num>
  <w:num w:numId="29">
    <w:abstractNumId w:val="10"/>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6521"/>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65E"/>
    <w:rsid w:val="00051733"/>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2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533"/>
    <w:rsid w:val="000F03CA"/>
    <w:rsid w:val="000F05CF"/>
    <w:rsid w:val="000F085D"/>
    <w:rsid w:val="000F1617"/>
    <w:rsid w:val="000F1C33"/>
    <w:rsid w:val="000F2D73"/>
    <w:rsid w:val="000F2F29"/>
    <w:rsid w:val="000F2F2E"/>
    <w:rsid w:val="000F302D"/>
    <w:rsid w:val="000F3310"/>
    <w:rsid w:val="000F33BA"/>
    <w:rsid w:val="000F37FB"/>
    <w:rsid w:val="000F4549"/>
    <w:rsid w:val="000F48F3"/>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2C1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27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3F9"/>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035"/>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021"/>
    <w:rsid w:val="001952C7"/>
    <w:rsid w:val="00195C5E"/>
    <w:rsid w:val="00196FDB"/>
    <w:rsid w:val="001971C2"/>
    <w:rsid w:val="0019789E"/>
    <w:rsid w:val="00197948"/>
    <w:rsid w:val="001A0685"/>
    <w:rsid w:val="001A07EB"/>
    <w:rsid w:val="001A099B"/>
    <w:rsid w:val="001A17A1"/>
    <w:rsid w:val="001A198F"/>
    <w:rsid w:val="001A1FCC"/>
    <w:rsid w:val="001A2206"/>
    <w:rsid w:val="001A2537"/>
    <w:rsid w:val="001A331F"/>
    <w:rsid w:val="001A3F63"/>
    <w:rsid w:val="001A4630"/>
    <w:rsid w:val="001A4D64"/>
    <w:rsid w:val="001A513B"/>
    <w:rsid w:val="001A5590"/>
    <w:rsid w:val="001A6047"/>
    <w:rsid w:val="001A61D8"/>
    <w:rsid w:val="001A7307"/>
    <w:rsid w:val="001A7FA6"/>
    <w:rsid w:val="001B04E1"/>
    <w:rsid w:val="001B0A84"/>
    <w:rsid w:val="001B0FE1"/>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0D4A"/>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27"/>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5BB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5552"/>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84B"/>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8"/>
    <w:rsid w:val="00252DFA"/>
    <w:rsid w:val="00252F4C"/>
    <w:rsid w:val="00252F9F"/>
    <w:rsid w:val="00253981"/>
    <w:rsid w:val="00253F19"/>
    <w:rsid w:val="0025479C"/>
    <w:rsid w:val="0025584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694"/>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4C0B"/>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096"/>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AFE"/>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80F"/>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2AF"/>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D79EE"/>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0DE"/>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A8B"/>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BF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CD4"/>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3DF"/>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527"/>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979"/>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3E7"/>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81A"/>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034"/>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7FC"/>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9D6"/>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23C"/>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1D3"/>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9786E"/>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87F"/>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206"/>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C7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2"/>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1A"/>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B701C"/>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07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B37"/>
    <w:rsid w:val="00843FBC"/>
    <w:rsid w:val="00844375"/>
    <w:rsid w:val="00845398"/>
    <w:rsid w:val="008455D7"/>
    <w:rsid w:val="008456BA"/>
    <w:rsid w:val="008458E9"/>
    <w:rsid w:val="0084616E"/>
    <w:rsid w:val="008461DA"/>
    <w:rsid w:val="0084687C"/>
    <w:rsid w:val="0084742B"/>
    <w:rsid w:val="00847516"/>
    <w:rsid w:val="008479DC"/>
    <w:rsid w:val="00847F28"/>
    <w:rsid w:val="00850417"/>
    <w:rsid w:val="008505B3"/>
    <w:rsid w:val="008507E1"/>
    <w:rsid w:val="00850BFF"/>
    <w:rsid w:val="00850CB3"/>
    <w:rsid w:val="00850F6F"/>
    <w:rsid w:val="00851921"/>
    <w:rsid w:val="008521B9"/>
    <w:rsid w:val="008522AA"/>
    <w:rsid w:val="00853816"/>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4A9"/>
    <w:rsid w:val="00876F4C"/>
    <w:rsid w:val="00877142"/>
    <w:rsid w:val="00880C24"/>
    <w:rsid w:val="00880CBD"/>
    <w:rsid w:val="00880E09"/>
    <w:rsid w:val="0088112A"/>
    <w:rsid w:val="00881C70"/>
    <w:rsid w:val="00882719"/>
    <w:rsid w:val="008827C3"/>
    <w:rsid w:val="0088387A"/>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6920"/>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BA2"/>
    <w:rsid w:val="008B4DE7"/>
    <w:rsid w:val="008B54D0"/>
    <w:rsid w:val="008B552C"/>
    <w:rsid w:val="008B5731"/>
    <w:rsid w:val="008B5B50"/>
    <w:rsid w:val="008B5EF6"/>
    <w:rsid w:val="008B5FEA"/>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B7F"/>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A3C"/>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343"/>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60E"/>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D7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6C9"/>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379"/>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9E8"/>
    <w:rsid w:val="00B55B18"/>
    <w:rsid w:val="00B55CAA"/>
    <w:rsid w:val="00B56539"/>
    <w:rsid w:val="00B5656D"/>
    <w:rsid w:val="00B5670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3ED7"/>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49E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38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63E"/>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777"/>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586"/>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84"/>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DCF"/>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0E30"/>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09E"/>
    <w:rsid w:val="00DA1426"/>
    <w:rsid w:val="00DA151F"/>
    <w:rsid w:val="00DA22B8"/>
    <w:rsid w:val="00DA236C"/>
    <w:rsid w:val="00DA2631"/>
    <w:rsid w:val="00DA2EA2"/>
    <w:rsid w:val="00DA3097"/>
    <w:rsid w:val="00DA30C4"/>
    <w:rsid w:val="00DA3CC0"/>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36EB"/>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5DC6"/>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37EF2"/>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6F23"/>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79B"/>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B23"/>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42"/>
    <w:rsid w:val="00F3370B"/>
    <w:rsid w:val="00F338EA"/>
    <w:rsid w:val="00F34185"/>
    <w:rsid w:val="00F341B4"/>
    <w:rsid w:val="00F35007"/>
    <w:rsid w:val="00F350A1"/>
    <w:rsid w:val="00F35484"/>
    <w:rsid w:val="00F35820"/>
    <w:rsid w:val="00F36235"/>
    <w:rsid w:val="00F36C2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7CF"/>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86A"/>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3DB"/>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7C9"/>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AEE"/>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3Char2">
    <w:name w:val="B3 Char2"/>
    <w:qFormat/>
    <w:rsid w:val="00122277"/>
    <w:rPr>
      <w:rFonts w:ascii="Times New Roman" w:eastAsia="Times New Roman" w:hAnsi="Times New Roman"/>
    </w:rPr>
  </w:style>
  <w:style w:type="character" w:customStyle="1" w:styleId="B4Char">
    <w:name w:val="B4 Char"/>
    <w:link w:val="B4"/>
    <w:qFormat/>
    <w:rsid w:val="001222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50921225">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0391654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0537484">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4C59E-7D5D-49DE-92E1-AB8523D4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3</Pages>
  <Words>911</Words>
  <Characters>5193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sam.shi@innopeaktech.com</dc:creator>
  <cp:keywords/>
  <dc:description/>
  <cp:lastModifiedBy>OPPO</cp:lastModifiedBy>
  <cp:revision>12</cp:revision>
  <cp:lastPrinted>2007-12-21T04:58:00Z</cp:lastPrinted>
  <dcterms:created xsi:type="dcterms:W3CDTF">2019-03-28T18:43:00Z</dcterms:created>
  <dcterms:modified xsi:type="dcterms:W3CDTF">2019-05-03T05:20:00Z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